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11C92F" w14:textId="77777777" w:rsidR="007F2D5C" w:rsidRPr="007F2D5C" w:rsidRDefault="007F2D5C" w:rsidP="007F2D5C">
      <w:pPr>
        <w:keepNext/>
        <w:keepLines/>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before="240"/>
        <w:jc w:val="center"/>
        <w:outlineLvl w:val="0"/>
        <w:rPr>
          <w:rFonts w:eastAsiaTheme="majorEastAsia"/>
          <w:b/>
          <w:color w:val="323E4F" w:themeColor="text2" w:themeShade="BF"/>
          <w:sz w:val="32"/>
          <w:szCs w:val="32"/>
        </w:rPr>
      </w:pPr>
      <w:r w:rsidRPr="007F2D5C">
        <w:rPr>
          <w:rFonts w:eastAsiaTheme="majorEastAsia"/>
          <w:b/>
          <w:color w:val="323E4F" w:themeColor="text2" w:themeShade="BF"/>
          <w:sz w:val="32"/>
          <w:szCs w:val="32"/>
        </w:rPr>
        <w:t>CAHIER DES CLAUSES ADMINISTRATIVES PARTICULIERES</w:t>
      </w:r>
    </w:p>
    <w:p w14:paraId="756013B8" w14:textId="77777777" w:rsidR="007F2D5C" w:rsidRPr="007F2D5C" w:rsidRDefault="007F2D5C" w:rsidP="007F2D5C">
      <w:pPr>
        <w:spacing w:before="120" w:line="259" w:lineRule="exact"/>
        <w:jc w:val="both"/>
        <w:rPr>
          <w:sz w:val="24"/>
          <w:szCs w:val="24"/>
        </w:rPr>
      </w:pPr>
    </w:p>
    <w:p w14:paraId="01E17F98" w14:textId="77777777" w:rsidR="007F2D5C" w:rsidRPr="007F2D5C" w:rsidRDefault="007F2D5C" w:rsidP="007F2D5C">
      <w:pPr>
        <w:keepNext/>
        <w:keepLines/>
        <w:numPr>
          <w:ilvl w:val="0"/>
          <w:numId w:val="7"/>
        </w:numPr>
        <w:pBdr>
          <w:bottom w:val="single" w:sz="4" w:space="1" w:color="auto"/>
        </w:pBdr>
        <w:spacing w:before="120"/>
        <w:ind w:left="851" w:hanging="851"/>
        <w:outlineLvl w:val="0"/>
        <w:rPr>
          <w:rFonts w:eastAsiaTheme="majorEastAsia"/>
          <w:b/>
          <w:color w:val="2E74B5" w:themeColor="accent1" w:themeShade="BF"/>
          <w:sz w:val="28"/>
          <w:szCs w:val="28"/>
        </w:rPr>
      </w:pPr>
      <w:r w:rsidRPr="007F2D5C">
        <w:rPr>
          <w:rFonts w:eastAsiaTheme="majorEastAsia"/>
          <w:b/>
          <w:color w:val="2E74B5" w:themeColor="accent1" w:themeShade="BF"/>
          <w:sz w:val="28"/>
          <w:szCs w:val="28"/>
        </w:rPr>
        <w:t>PIECES CONSTITUTIVES DU MARCHE</w:t>
      </w:r>
    </w:p>
    <w:p w14:paraId="42E8A689" w14:textId="77777777" w:rsidR="007F2D5C" w:rsidRPr="00580E4C" w:rsidRDefault="007F2D5C" w:rsidP="007F2D5C">
      <w:pPr>
        <w:tabs>
          <w:tab w:val="left" w:pos="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s>
        <w:spacing w:before="120"/>
        <w:jc w:val="both"/>
      </w:pPr>
      <w:r w:rsidRPr="00580E4C">
        <w:t>Les pièces constitutives du marché sont énumérées ci-dessous et prévalent les unes sur les autres, dans leur ordre d’énumération, en cas de contradiction ou de différences entre elles.</w:t>
      </w:r>
    </w:p>
    <w:p w14:paraId="7249B813" w14:textId="77777777" w:rsidR="007F2D5C" w:rsidRPr="007F2D5C" w:rsidRDefault="007F2D5C" w:rsidP="007F2D5C">
      <w:pPr>
        <w:keepNext/>
        <w:keepLines/>
        <w:numPr>
          <w:ilvl w:val="1"/>
          <w:numId w:val="7"/>
        </w:numPr>
        <w:spacing w:before="120"/>
        <w:ind w:left="851" w:hanging="851"/>
        <w:outlineLvl w:val="0"/>
        <w:rPr>
          <w:rFonts w:eastAsiaTheme="majorEastAsia"/>
          <w:b/>
          <w:color w:val="2E74B5" w:themeColor="accent1" w:themeShade="BF"/>
          <w:sz w:val="24"/>
          <w:szCs w:val="24"/>
          <w:u w:val="single"/>
        </w:rPr>
      </w:pPr>
      <w:r w:rsidRPr="007F2D5C">
        <w:rPr>
          <w:rFonts w:eastAsiaTheme="majorEastAsia"/>
          <w:b/>
          <w:color w:val="2E74B5" w:themeColor="accent1" w:themeShade="BF"/>
          <w:sz w:val="24"/>
          <w:szCs w:val="24"/>
          <w:u w:val="single"/>
        </w:rPr>
        <w:t>Pièces particulières</w:t>
      </w:r>
    </w:p>
    <w:p w14:paraId="1127ADBC" w14:textId="77777777" w:rsidR="007F2D5C" w:rsidRPr="00580E4C" w:rsidRDefault="007F2D5C" w:rsidP="007F2D5C">
      <w:pPr>
        <w:tabs>
          <w:tab w:val="left" w:pos="0"/>
          <w:tab w:val="left" w:pos="432"/>
          <w:tab w:val="left" w:pos="864"/>
          <w:tab w:val="left" w:pos="14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s>
        <w:spacing w:before="120"/>
        <w:jc w:val="both"/>
      </w:pPr>
      <w:r w:rsidRPr="00580E4C">
        <w:t xml:space="preserve">Le présent marché </w:t>
      </w:r>
      <w:r w:rsidR="006845AA" w:rsidRPr="00580E4C">
        <w:t>est composé des documents particuliers suivants :</w:t>
      </w:r>
      <w:r w:rsidRPr="00580E4C">
        <w:t xml:space="preserve"> cahier des clauses administratives particulières (CCAP) et cahier des clauses techniques </w:t>
      </w:r>
      <w:proofErr w:type="gramStart"/>
      <w:r w:rsidRPr="00580E4C">
        <w:t>particulières(</w:t>
      </w:r>
      <w:proofErr w:type="gramEnd"/>
      <w:r w:rsidRPr="00580E4C">
        <w:t>CCTP) ;</w:t>
      </w:r>
    </w:p>
    <w:p w14:paraId="3A40D073" w14:textId="77777777" w:rsidR="007F2D5C" w:rsidRPr="007F2D5C" w:rsidRDefault="007F2D5C" w:rsidP="007F2D5C">
      <w:pPr>
        <w:keepNext/>
        <w:keepLines/>
        <w:numPr>
          <w:ilvl w:val="1"/>
          <w:numId w:val="7"/>
        </w:numPr>
        <w:spacing w:before="120"/>
        <w:ind w:left="851" w:hanging="851"/>
        <w:outlineLvl w:val="0"/>
        <w:rPr>
          <w:rFonts w:eastAsiaTheme="majorEastAsia"/>
          <w:b/>
          <w:color w:val="2E74B5" w:themeColor="accent1" w:themeShade="BF"/>
          <w:sz w:val="24"/>
          <w:szCs w:val="24"/>
          <w:u w:val="single"/>
        </w:rPr>
      </w:pPr>
      <w:r w:rsidRPr="007F2D5C">
        <w:rPr>
          <w:rFonts w:eastAsiaTheme="majorEastAsia"/>
          <w:b/>
          <w:color w:val="2E74B5" w:themeColor="accent1" w:themeShade="BF"/>
          <w:sz w:val="24"/>
          <w:szCs w:val="24"/>
          <w:u w:val="single"/>
        </w:rPr>
        <w:t>Pièces générales</w:t>
      </w:r>
    </w:p>
    <w:p w14:paraId="6389ACBC" w14:textId="77777777" w:rsidR="007F2D5C" w:rsidRPr="00580E4C" w:rsidRDefault="007F2D5C" w:rsidP="007F2D5C">
      <w:pPr>
        <w:tabs>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s>
        <w:spacing w:before="120"/>
        <w:jc w:val="both"/>
      </w:pPr>
      <w:r w:rsidRPr="00580E4C">
        <w:t>Les documents applicables sont ceux en vigueur à la date d’établissement des prix initiaux :</w:t>
      </w:r>
    </w:p>
    <w:p w14:paraId="33B483C9" w14:textId="77777777" w:rsidR="007F2D5C" w:rsidRPr="00580E4C" w:rsidRDefault="007F2D5C" w:rsidP="007F2D5C">
      <w:pPr>
        <w:numPr>
          <w:ilvl w:val="0"/>
          <w:numId w:val="6"/>
        </w:numPr>
        <w:tabs>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s>
        <w:spacing w:before="120"/>
        <w:ind w:left="284" w:hanging="284"/>
        <w:contextualSpacing/>
        <w:jc w:val="both"/>
      </w:pPr>
      <w:r w:rsidRPr="00580E4C">
        <w:t>Cahier des clauses administratives générales (CCAG) applicable aux marchés publics de travaux en Polynésie Française ;</w:t>
      </w:r>
    </w:p>
    <w:p w14:paraId="2F30878B" w14:textId="77777777" w:rsidR="007F2D5C" w:rsidRPr="00580E4C" w:rsidRDefault="007F2D5C" w:rsidP="007F2D5C">
      <w:pPr>
        <w:numPr>
          <w:ilvl w:val="0"/>
          <w:numId w:val="6"/>
        </w:numPr>
        <w:tabs>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s>
        <w:spacing w:before="120"/>
        <w:ind w:left="284" w:hanging="284"/>
        <w:jc w:val="both"/>
      </w:pPr>
      <w:r w:rsidRPr="00580E4C">
        <w:t>Cahier des clauses techniques générales (CCTG) applicables aux marchés de bâtiment et comprenant les fascicules, les normes AFNOR et les DTU ;</w:t>
      </w:r>
    </w:p>
    <w:p w14:paraId="73CCAAF2" w14:textId="77777777" w:rsidR="007F2D5C" w:rsidRPr="00580E4C" w:rsidRDefault="007F2D5C" w:rsidP="007F2D5C">
      <w:pPr>
        <w:numPr>
          <w:ilvl w:val="0"/>
          <w:numId w:val="6"/>
        </w:numPr>
        <w:tabs>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864"/>
          <w:tab w:val="left" w:pos="1440"/>
          <w:tab w:val="left" w:pos="2160"/>
        </w:tabs>
        <w:spacing w:before="120"/>
        <w:ind w:left="284" w:hanging="284"/>
        <w:jc w:val="both"/>
      </w:pPr>
      <w:r w:rsidRPr="00580E4C">
        <w:t>Cahier des clauses techniques générales (CCTG) applicables aux marchés de travaux publics, y compris les fascicules du CPC.</w:t>
      </w:r>
    </w:p>
    <w:p w14:paraId="0DC702BF" w14:textId="77777777" w:rsidR="007F2D5C" w:rsidRPr="007F2D5C" w:rsidRDefault="007F2D5C" w:rsidP="007F2D5C">
      <w:pPr>
        <w:keepNext/>
        <w:keepLines/>
        <w:numPr>
          <w:ilvl w:val="1"/>
          <w:numId w:val="7"/>
        </w:numPr>
        <w:spacing w:before="120"/>
        <w:ind w:left="851" w:hanging="851"/>
        <w:outlineLvl w:val="0"/>
        <w:rPr>
          <w:rFonts w:eastAsiaTheme="majorEastAsia"/>
          <w:b/>
          <w:color w:val="2E74B5" w:themeColor="accent1" w:themeShade="BF"/>
          <w:sz w:val="24"/>
          <w:szCs w:val="24"/>
          <w:u w:val="single"/>
        </w:rPr>
      </w:pPr>
      <w:r w:rsidRPr="007F2D5C">
        <w:rPr>
          <w:rFonts w:eastAsiaTheme="majorEastAsia"/>
          <w:b/>
          <w:color w:val="2E74B5" w:themeColor="accent1" w:themeShade="BF"/>
          <w:sz w:val="24"/>
          <w:szCs w:val="24"/>
          <w:u w:val="single"/>
        </w:rPr>
        <w:t>Pièces annexes</w:t>
      </w:r>
    </w:p>
    <w:p w14:paraId="26C1248B" w14:textId="77777777" w:rsidR="007F2D5C" w:rsidRPr="00580E4C" w:rsidRDefault="007F2D5C" w:rsidP="007F2D5C">
      <w:pPr>
        <w:numPr>
          <w:ilvl w:val="1"/>
          <w:numId w:val="5"/>
        </w:numPr>
        <w:tabs>
          <w:tab w:val="left" w:pos="0"/>
          <w:tab w:val="left" w:pos="284"/>
          <w:tab w:val="left" w:pos="864"/>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0"/>
          <w:tab w:val="left" w:pos="432"/>
          <w:tab w:val="left" w:pos="864"/>
          <w:tab w:val="left" w:pos="1440"/>
          <w:tab w:val="left" w:pos="2160"/>
        </w:tabs>
        <w:spacing w:before="120"/>
        <w:ind w:left="1434" w:hanging="1434"/>
        <w:jc w:val="both"/>
      </w:pPr>
      <w:r w:rsidRPr="00580E4C">
        <w:t>La décomposition du prix global et forfaitaire (DPGF) ;</w:t>
      </w:r>
    </w:p>
    <w:p w14:paraId="5AA3A317" w14:textId="77777777" w:rsidR="007F2D5C" w:rsidRPr="00580E4C" w:rsidRDefault="007F2D5C" w:rsidP="007F2D5C">
      <w:pPr>
        <w:tabs>
          <w:tab w:val="left" w:pos="200"/>
        </w:tabs>
        <w:spacing w:before="240"/>
        <w:jc w:val="both"/>
        <w:rPr>
          <w:rFonts w:eastAsia="Arial"/>
        </w:rPr>
      </w:pPr>
      <w:r w:rsidRPr="00580E4C">
        <w:rPr>
          <w:rFonts w:eastAsia="Arial"/>
        </w:rPr>
        <w:t>L’entrepreneur déclare avoir une parfaite connaissance des pièces et documents désignés ci-dessus.</w:t>
      </w:r>
    </w:p>
    <w:p w14:paraId="52B484D8" w14:textId="77777777" w:rsidR="004F47DF" w:rsidRPr="00580E4C" w:rsidRDefault="004F47DF" w:rsidP="007F2D5C">
      <w:pPr>
        <w:tabs>
          <w:tab w:val="left" w:pos="200"/>
        </w:tabs>
        <w:spacing w:before="240"/>
        <w:jc w:val="both"/>
        <w:rPr>
          <w:rFonts w:eastAsia="Arial"/>
        </w:rPr>
      </w:pPr>
      <w:r w:rsidRPr="00580E4C">
        <w:rPr>
          <w:rFonts w:eastAsia="Arial"/>
        </w:rPr>
        <w:t>En cas de non-conformité ou de divergence d'interprétation entre les conditions stipulées dans l’acte d’engagement et celles figurant dans les pièces et documents ci-dessus, les conditions stipulées dans l’acte d’engagement prévaudront.</w:t>
      </w:r>
    </w:p>
    <w:p w14:paraId="725923FD" w14:textId="77777777" w:rsidR="007F2D5C" w:rsidRPr="00580E4C" w:rsidRDefault="007F2D5C" w:rsidP="007F2D5C">
      <w:pPr>
        <w:tabs>
          <w:tab w:val="left" w:pos="200"/>
        </w:tabs>
        <w:spacing w:before="120"/>
        <w:jc w:val="both"/>
        <w:rPr>
          <w:rFonts w:eastAsia="Arial"/>
        </w:rPr>
      </w:pPr>
      <w:r w:rsidRPr="00580E4C">
        <w:rPr>
          <w:rFonts w:eastAsia="Arial"/>
        </w:rPr>
        <w:t>Aucune dérogation à ces pièces ne sera acceptée.</w:t>
      </w:r>
    </w:p>
    <w:p w14:paraId="60C692B9" w14:textId="77777777" w:rsidR="009757C1" w:rsidRDefault="009757C1" w:rsidP="009757C1">
      <w:pPr>
        <w:keepNext/>
        <w:keepLines/>
        <w:pBdr>
          <w:bottom w:val="single" w:sz="4" w:space="1" w:color="auto"/>
        </w:pBdr>
        <w:spacing w:before="120"/>
        <w:jc w:val="both"/>
        <w:outlineLvl w:val="0"/>
        <w:rPr>
          <w:rFonts w:eastAsiaTheme="majorEastAsia"/>
          <w:b/>
          <w:color w:val="2E74B5" w:themeColor="accent1" w:themeShade="BF"/>
          <w:sz w:val="28"/>
          <w:szCs w:val="28"/>
        </w:rPr>
      </w:pPr>
    </w:p>
    <w:p w14:paraId="3CF7C01D" w14:textId="77777777" w:rsidR="007F2D5C" w:rsidRPr="007F2D5C" w:rsidRDefault="007F2D5C" w:rsidP="007F2D5C">
      <w:pPr>
        <w:keepNext/>
        <w:keepLines/>
        <w:numPr>
          <w:ilvl w:val="0"/>
          <w:numId w:val="7"/>
        </w:numPr>
        <w:pBdr>
          <w:bottom w:val="single" w:sz="4" w:space="1" w:color="auto"/>
        </w:pBdr>
        <w:spacing w:before="120"/>
        <w:ind w:left="851" w:hanging="851"/>
        <w:jc w:val="both"/>
        <w:outlineLvl w:val="0"/>
        <w:rPr>
          <w:rFonts w:eastAsiaTheme="majorEastAsia"/>
          <w:b/>
          <w:color w:val="2E74B5" w:themeColor="accent1" w:themeShade="BF"/>
          <w:sz w:val="28"/>
          <w:szCs w:val="28"/>
        </w:rPr>
      </w:pPr>
      <w:r w:rsidRPr="007F2D5C">
        <w:rPr>
          <w:rFonts w:eastAsiaTheme="majorEastAsia"/>
          <w:b/>
          <w:color w:val="2E74B5" w:themeColor="accent1" w:themeShade="BF"/>
          <w:sz w:val="28"/>
          <w:szCs w:val="28"/>
        </w:rPr>
        <w:t>PRIX DES OUVRAGES, VARIATION, REGLEMENT</w:t>
      </w:r>
    </w:p>
    <w:p w14:paraId="0791EA83" w14:textId="77777777" w:rsidR="007F2D5C" w:rsidRPr="007F2D5C" w:rsidRDefault="007F2D5C" w:rsidP="007F2D5C">
      <w:pPr>
        <w:numPr>
          <w:ilvl w:val="0"/>
          <w:numId w:val="1"/>
        </w:numPr>
        <w:spacing w:line="20" w:lineRule="exact"/>
        <w:ind w:left="720"/>
        <w:contextualSpacing/>
        <w:jc w:val="both"/>
        <w:rPr>
          <w:sz w:val="24"/>
          <w:szCs w:val="24"/>
        </w:rPr>
      </w:pPr>
    </w:p>
    <w:p w14:paraId="03DE4C21" w14:textId="77777777" w:rsidR="007F2D5C" w:rsidRPr="007F2D5C" w:rsidRDefault="007F2D5C" w:rsidP="007F2D5C">
      <w:pPr>
        <w:keepNext/>
        <w:keepLines/>
        <w:numPr>
          <w:ilvl w:val="1"/>
          <w:numId w:val="7"/>
        </w:numPr>
        <w:spacing w:before="120"/>
        <w:ind w:left="851" w:hanging="851"/>
        <w:outlineLvl w:val="0"/>
        <w:rPr>
          <w:rFonts w:eastAsiaTheme="majorEastAsia"/>
          <w:b/>
          <w:color w:val="2E74B5" w:themeColor="accent1" w:themeShade="BF"/>
          <w:sz w:val="24"/>
          <w:szCs w:val="24"/>
          <w:u w:val="single"/>
        </w:rPr>
      </w:pPr>
      <w:r w:rsidRPr="007F2D5C">
        <w:rPr>
          <w:rFonts w:eastAsiaTheme="majorEastAsia"/>
          <w:b/>
          <w:color w:val="2E74B5" w:themeColor="accent1" w:themeShade="BF"/>
          <w:sz w:val="24"/>
          <w:szCs w:val="24"/>
          <w:u w:val="single"/>
        </w:rPr>
        <w:t>Contenu du prix</w:t>
      </w:r>
    </w:p>
    <w:p w14:paraId="021B4BBC" w14:textId="77777777" w:rsidR="007F2D5C" w:rsidRPr="00580E4C" w:rsidRDefault="007F2D5C" w:rsidP="007F2D5C">
      <w:pPr>
        <w:spacing w:before="120" w:line="239" w:lineRule="auto"/>
        <w:ind w:right="20"/>
        <w:jc w:val="both"/>
        <w:rPr>
          <w:rFonts w:eastAsia="Arial"/>
        </w:rPr>
      </w:pPr>
      <w:r w:rsidRPr="00580E4C">
        <w:rPr>
          <w:rFonts w:eastAsia="Arial"/>
        </w:rPr>
        <w:t xml:space="preserve">Les travaux comprennent la construction complète, conformément aux prescriptions des </w:t>
      </w:r>
      <w:r w:rsidRPr="00580E4C">
        <w:rPr>
          <w:rFonts w:eastAsia="Arial"/>
          <w:bCs/>
        </w:rPr>
        <w:t>CCTG</w:t>
      </w:r>
      <w:r w:rsidRPr="00580E4C">
        <w:rPr>
          <w:rFonts w:eastAsia="Arial"/>
        </w:rPr>
        <w:t xml:space="preserve"> et </w:t>
      </w:r>
      <w:r w:rsidRPr="00580E4C">
        <w:rPr>
          <w:rFonts w:eastAsia="Arial"/>
          <w:bCs/>
        </w:rPr>
        <w:t>CCTP</w:t>
      </w:r>
      <w:r w:rsidRPr="00580E4C">
        <w:rPr>
          <w:rFonts w:eastAsia="Arial"/>
        </w:rPr>
        <w:t>, suivant les règles de l’art, des ouvrages prévus au marché ou réalisés sur directives du maître d’œuvre.</w:t>
      </w:r>
    </w:p>
    <w:p w14:paraId="6C35122F" w14:textId="77777777" w:rsidR="007F2D5C" w:rsidRPr="00580E4C" w:rsidRDefault="007F2D5C" w:rsidP="007F2D5C">
      <w:pPr>
        <w:spacing w:before="120" w:line="239" w:lineRule="auto"/>
        <w:ind w:right="20"/>
        <w:jc w:val="both"/>
        <w:rPr>
          <w:rFonts w:eastAsia="Arial"/>
        </w:rPr>
      </w:pPr>
      <w:r w:rsidRPr="00580E4C">
        <w:rPr>
          <w:rFonts w:eastAsia="Arial"/>
        </w:rPr>
        <w:t>L’entrepreneur reconnaît avoir pris connaissance des particularités éventuelles du chantier et de tous les éléments qui pourront être pris en compte pour l’établissement des prix et des délais.</w:t>
      </w:r>
    </w:p>
    <w:p w14:paraId="4B077955" w14:textId="77777777" w:rsidR="007F2D5C" w:rsidRPr="00580E4C" w:rsidRDefault="007F2D5C" w:rsidP="007F2D5C">
      <w:pPr>
        <w:spacing w:before="120" w:line="239" w:lineRule="auto"/>
        <w:ind w:right="20"/>
        <w:jc w:val="both"/>
        <w:rPr>
          <w:rFonts w:eastAsia="Arial"/>
        </w:rPr>
      </w:pPr>
      <w:r w:rsidRPr="00580E4C">
        <w:rPr>
          <w:rFonts w:eastAsia="Arial"/>
        </w:rPr>
        <w:t>Sont à la charge de l’entrepreneur et compris dans les prix tous les frais nécessités par l’exécution des travaux y compris ceux d’assurance notamment.</w:t>
      </w:r>
    </w:p>
    <w:p w14:paraId="78C67DC7" w14:textId="77777777" w:rsidR="007F2D5C" w:rsidRPr="00580E4C" w:rsidRDefault="007F2D5C" w:rsidP="007F2D5C">
      <w:pPr>
        <w:spacing w:before="120" w:line="239" w:lineRule="auto"/>
        <w:ind w:right="20"/>
        <w:jc w:val="both"/>
        <w:rPr>
          <w:rFonts w:eastAsia="Arial"/>
        </w:rPr>
      </w:pPr>
      <w:r w:rsidRPr="00580E4C">
        <w:rPr>
          <w:rFonts w:eastAsia="Arial"/>
        </w:rPr>
        <w:t>Le marché est conclu sur un prix global et forfaitaire.</w:t>
      </w:r>
    </w:p>
    <w:p w14:paraId="71D43B91" w14:textId="77777777" w:rsidR="007F2D5C" w:rsidRDefault="007F2D5C" w:rsidP="007F2D5C">
      <w:pPr>
        <w:keepNext/>
        <w:keepLines/>
        <w:numPr>
          <w:ilvl w:val="1"/>
          <w:numId w:val="7"/>
        </w:numPr>
        <w:spacing w:before="120"/>
        <w:ind w:left="851" w:hanging="851"/>
        <w:outlineLvl w:val="0"/>
        <w:rPr>
          <w:rFonts w:eastAsiaTheme="majorEastAsia"/>
          <w:b/>
          <w:color w:val="2E74B5" w:themeColor="accent1" w:themeShade="BF"/>
          <w:sz w:val="24"/>
          <w:szCs w:val="24"/>
          <w:u w:val="single"/>
        </w:rPr>
      </w:pPr>
      <w:r w:rsidRPr="007F2D5C">
        <w:rPr>
          <w:rFonts w:eastAsiaTheme="majorEastAsia"/>
          <w:b/>
          <w:color w:val="2E74B5" w:themeColor="accent1" w:themeShade="BF"/>
          <w:sz w:val="24"/>
          <w:szCs w:val="24"/>
          <w:u w:val="single"/>
        </w:rPr>
        <w:t>Modalités de règlement</w:t>
      </w:r>
    </w:p>
    <w:p w14:paraId="75FE28AD" w14:textId="77777777" w:rsidR="007F2D5C" w:rsidRPr="007F2D5C" w:rsidRDefault="007F2D5C" w:rsidP="007F2D5C">
      <w:pPr>
        <w:keepNext/>
        <w:keepLines/>
        <w:numPr>
          <w:ilvl w:val="2"/>
          <w:numId w:val="7"/>
        </w:numPr>
        <w:spacing w:before="120"/>
        <w:ind w:left="851" w:hanging="851"/>
        <w:outlineLvl w:val="0"/>
        <w:rPr>
          <w:rFonts w:eastAsiaTheme="majorEastAsia"/>
          <w:color w:val="2E74B5" w:themeColor="accent1" w:themeShade="BF"/>
          <w:sz w:val="24"/>
          <w:szCs w:val="24"/>
          <w:u w:val="single"/>
        </w:rPr>
      </w:pPr>
      <w:r w:rsidRPr="007F2D5C">
        <w:rPr>
          <w:rFonts w:eastAsiaTheme="majorEastAsia"/>
          <w:color w:val="2E74B5" w:themeColor="accent1" w:themeShade="BF"/>
          <w:sz w:val="24"/>
          <w:szCs w:val="24"/>
          <w:u w:val="single"/>
        </w:rPr>
        <w:t>Avance</w:t>
      </w:r>
    </w:p>
    <w:p w14:paraId="326B708E" w14:textId="77777777" w:rsidR="004F47DF" w:rsidRPr="00580E4C" w:rsidRDefault="004F47DF" w:rsidP="004F47DF">
      <w:pPr>
        <w:spacing w:before="120"/>
        <w:jc w:val="both"/>
      </w:pPr>
      <w:r w:rsidRPr="00580E4C">
        <w:t>Une avance équivalente à 20 % du montant TTC du marché pourra être versée au titulaire.</w:t>
      </w:r>
    </w:p>
    <w:p w14:paraId="5EC9CD3A" w14:textId="77777777" w:rsidR="007F2D5C" w:rsidRPr="007F2D5C" w:rsidRDefault="007F2D5C" w:rsidP="007F2D5C">
      <w:pPr>
        <w:keepNext/>
        <w:keepLines/>
        <w:numPr>
          <w:ilvl w:val="2"/>
          <w:numId w:val="7"/>
        </w:numPr>
        <w:spacing w:before="120"/>
        <w:ind w:left="851" w:hanging="851"/>
        <w:outlineLvl w:val="0"/>
        <w:rPr>
          <w:rFonts w:eastAsiaTheme="majorEastAsia"/>
          <w:color w:val="2E74B5" w:themeColor="accent1" w:themeShade="BF"/>
          <w:sz w:val="24"/>
          <w:szCs w:val="24"/>
          <w:u w:val="single"/>
        </w:rPr>
      </w:pPr>
      <w:r w:rsidRPr="007F2D5C">
        <w:rPr>
          <w:rFonts w:eastAsiaTheme="majorEastAsia"/>
          <w:color w:val="2E74B5" w:themeColor="accent1" w:themeShade="BF"/>
          <w:sz w:val="24"/>
          <w:szCs w:val="24"/>
          <w:u w:val="single"/>
        </w:rPr>
        <w:t>Règlement</w:t>
      </w:r>
    </w:p>
    <w:p w14:paraId="7ED31B82" w14:textId="77777777" w:rsidR="007F2D5C" w:rsidRDefault="007F2D5C" w:rsidP="007F2D5C">
      <w:pPr>
        <w:spacing w:before="120" w:line="239" w:lineRule="auto"/>
        <w:ind w:right="20"/>
        <w:jc w:val="both"/>
        <w:rPr>
          <w:rFonts w:eastAsia="Arial"/>
          <w:bCs/>
        </w:rPr>
      </w:pPr>
      <w:r w:rsidRPr="00580E4C">
        <w:rPr>
          <w:rFonts w:eastAsia="Arial"/>
          <w:bCs/>
        </w:rPr>
        <w:t>Les factures établies en 3 exemplaires, devront être libellées au nom du maître d’ouvrage, après constatation de la fin des travaux. Elles devront éventuellement et préalablement parvenir au maître d’œuvre pour être visées.</w:t>
      </w:r>
    </w:p>
    <w:p w14:paraId="03D34A95" w14:textId="77777777" w:rsidR="00AD3CFA" w:rsidRPr="00580E4C" w:rsidRDefault="00AD3CFA" w:rsidP="007F2D5C">
      <w:pPr>
        <w:spacing w:before="120" w:line="239" w:lineRule="auto"/>
        <w:ind w:right="20"/>
        <w:jc w:val="both"/>
        <w:rPr>
          <w:rFonts w:eastAsia="Arial"/>
          <w:bCs/>
        </w:rPr>
      </w:pPr>
    </w:p>
    <w:p w14:paraId="5BE0EF73" w14:textId="77777777" w:rsidR="007F2D5C" w:rsidRPr="007F2D5C" w:rsidRDefault="007F2D5C" w:rsidP="007F2D5C">
      <w:pPr>
        <w:keepNext/>
        <w:keepLines/>
        <w:numPr>
          <w:ilvl w:val="1"/>
          <w:numId w:val="7"/>
        </w:numPr>
        <w:spacing w:before="120"/>
        <w:ind w:left="851" w:hanging="851"/>
        <w:outlineLvl w:val="0"/>
        <w:rPr>
          <w:rFonts w:eastAsiaTheme="majorEastAsia"/>
          <w:b/>
          <w:color w:val="2E74B5" w:themeColor="accent1" w:themeShade="BF"/>
          <w:sz w:val="24"/>
          <w:szCs w:val="24"/>
          <w:u w:val="single"/>
        </w:rPr>
      </w:pPr>
      <w:r w:rsidRPr="007F2D5C">
        <w:rPr>
          <w:rFonts w:eastAsiaTheme="majorEastAsia"/>
          <w:b/>
          <w:color w:val="2E74B5" w:themeColor="accent1" w:themeShade="BF"/>
          <w:sz w:val="24"/>
          <w:szCs w:val="24"/>
          <w:u w:val="single"/>
        </w:rPr>
        <w:t>Variation dans les prix</w:t>
      </w:r>
      <w:ins w:id="0" w:author="danielle.seow" w:date="2023-02-27T14:18:00Z">
        <w:r w:rsidR="00B939B1">
          <w:rPr>
            <w:rFonts w:eastAsiaTheme="majorEastAsia"/>
            <w:b/>
            <w:color w:val="2E74B5" w:themeColor="accent1" w:themeShade="BF"/>
            <w:sz w:val="24"/>
            <w:szCs w:val="24"/>
            <w:u w:val="single"/>
          </w:rPr>
          <w:t xml:space="preserve"> </w:t>
        </w:r>
      </w:ins>
    </w:p>
    <w:p w14:paraId="5F4EE6E4" w14:textId="77777777" w:rsidR="007F2D5C" w:rsidRPr="00580E4C" w:rsidRDefault="007F2D5C" w:rsidP="007F2D5C">
      <w:pPr>
        <w:spacing w:before="120" w:line="239" w:lineRule="auto"/>
        <w:ind w:right="20"/>
        <w:jc w:val="both"/>
        <w:rPr>
          <w:ins w:id="1" w:author="danielle.seow" w:date="2023-02-27T14:17:00Z"/>
          <w:rFonts w:eastAsia="Arial"/>
          <w:bCs/>
        </w:rPr>
      </w:pPr>
      <w:r w:rsidRPr="00580E4C">
        <w:rPr>
          <w:rFonts w:eastAsia="Arial"/>
          <w:bCs/>
        </w:rPr>
        <w:t>Les prix sont réputés fermes.</w:t>
      </w:r>
    </w:p>
    <w:p w14:paraId="70FCAA0B" w14:textId="77777777" w:rsidR="00B939B1" w:rsidRPr="00D723D7" w:rsidRDefault="00B939B1" w:rsidP="00B939B1">
      <w:pPr>
        <w:spacing w:before="100" w:after="200"/>
      </w:pPr>
      <w:r w:rsidRPr="00D723D7">
        <w:t xml:space="preserve">Conformément à l’article 10.1.2 du CCAG-FCS, ils sont éventuellement actualisables si un délai supérieur à 3 mois s’écoule entre la date d’établissement du prix initial (mois de remise des offres) et la date de notification du marché. </w:t>
      </w:r>
    </w:p>
    <w:p w14:paraId="28145372" w14:textId="77777777" w:rsidR="00B939B1" w:rsidRPr="00D723D7" w:rsidRDefault="00B939B1" w:rsidP="00B939B1">
      <w:pPr>
        <w:spacing w:before="100" w:after="200"/>
      </w:pPr>
      <w:r w:rsidRPr="00D723D7">
        <w:t>La formule d’actualisation des prix est la suivante :</w:t>
      </w:r>
    </w:p>
    <w:p w14:paraId="2ED2022C" w14:textId="77777777" w:rsidR="00B939B1" w:rsidRPr="00D723D7" w:rsidRDefault="00B939B1" w:rsidP="00B939B1">
      <w:pPr>
        <w:spacing w:before="100" w:after="200"/>
      </w:pPr>
      <w:r w:rsidRPr="00D723D7">
        <w:t>Prix nouveau actualisé = prix initial x (valeur de l’indice à la date de notification du marché – 3 mois/valeur de l’indice à la date d’établissement du prix initial).</w:t>
      </w:r>
    </w:p>
    <w:p w14:paraId="49AA2FF2" w14:textId="77777777" w:rsidR="00B939B1" w:rsidRPr="00D723D7" w:rsidRDefault="00B939B1" w:rsidP="00B939B1">
      <w:pPr>
        <w:spacing w:before="100" w:after="200"/>
      </w:pPr>
      <w:r w:rsidRPr="00D723D7">
        <w:t>La date d’établissement du prix initial est la date limite de remise des offres.</w:t>
      </w:r>
    </w:p>
    <w:p w14:paraId="20FE2837" w14:textId="77777777" w:rsidR="0005659C" w:rsidRDefault="00B939B1" w:rsidP="00B939B1">
      <w:pPr>
        <w:spacing w:before="100" w:after="200"/>
      </w:pPr>
      <w:r w:rsidRPr="00D723D7">
        <w:t xml:space="preserve">L’indice de </w:t>
      </w:r>
      <w:r w:rsidR="0005659C">
        <w:t>référence choisi est l’indice :</w:t>
      </w:r>
      <w:r w:rsidR="004F47DF">
        <w:t xml:space="preserve"> </w:t>
      </w:r>
      <w:r w:rsidR="004F47DF" w:rsidRPr="004F47DF">
        <w:rPr>
          <w:b/>
        </w:rPr>
        <w:t>B</w:t>
      </w:r>
      <w:r w:rsidR="00580E4C">
        <w:rPr>
          <w:b/>
        </w:rPr>
        <w:t>GO</w:t>
      </w:r>
      <w:r w:rsidR="004F47DF" w:rsidRPr="004F47DF">
        <w:rPr>
          <w:b/>
        </w:rPr>
        <w:t xml:space="preserve"> 0</w:t>
      </w:r>
      <w:r w:rsidR="00580E4C">
        <w:rPr>
          <w:b/>
        </w:rPr>
        <w:t>2.1</w:t>
      </w:r>
    </w:p>
    <w:p w14:paraId="51597C87" w14:textId="77777777" w:rsidR="00B939B1" w:rsidRPr="00D723D7" w:rsidRDefault="001C4761" w:rsidP="001C4761">
      <w:pPr>
        <w:pStyle w:val="Paragraphedeliste"/>
        <w:spacing w:before="100" w:after="200"/>
        <w:ind w:left="0"/>
      </w:pPr>
      <w:r w:rsidRPr="00D723D7">
        <w:t>Publié</w:t>
      </w:r>
      <w:r w:rsidR="00B939B1" w:rsidRPr="00D723D7">
        <w:t xml:space="preserve"> par l’Institut de la Statistique de la Polynésie française (ISPF).</w:t>
      </w:r>
    </w:p>
    <w:p w14:paraId="710B29DF" w14:textId="77777777" w:rsidR="00B939B1" w:rsidRDefault="00B939B1" w:rsidP="00B939B1">
      <w:pPr>
        <w:spacing w:before="120" w:line="239" w:lineRule="auto"/>
        <w:ind w:right="20"/>
        <w:jc w:val="both"/>
      </w:pPr>
      <w:r w:rsidRPr="00D723D7">
        <w:t>Le prix ainsi actualisé reste ferme pendant toute la période d’exécution des prestations et constitue le prix de règlement</w:t>
      </w:r>
    </w:p>
    <w:p w14:paraId="54524041" w14:textId="77777777" w:rsidR="007F2D5C" w:rsidRPr="007F2D5C" w:rsidRDefault="007F2D5C" w:rsidP="007F2D5C">
      <w:pPr>
        <w:keepNext/>
        <w:keepLines/>
        <w:numPr>
          <w:ilvl w:val="1"/>
          <w:numId w:val="7"/>
        </w:numPr>
        <w:spacing w:before="120"/>
        <w:ind w:left="851" w:hanging="851"/>
        <w:outlineLvl w:val="0"/>
        <w:rPr>
          <w:rFonts w:eastAsiaTheme="majorEastAsia"/>
          <w:b/>
          <w:color w:val="2E74B5" w:themeColor="accent1" w:themeShade="BF"/>
          <w:sz w:val="24"/>
          <w:szCs w:val="24"/>
          <w:u w:val="single"/>
        </w:rPr>
      </w:pPr>
      <w:r w:rsidRPr="007F2D5C">
        <w:rPr>
          <w:rFonts w:eastAsiaTheme="majorEastAsia"/>
          <w:b/>
          <w:color w:val="2E74B5" w:themeColor="accent1" w:themeShade="BF"/>
          <w:sz w:val="24"/>
          <w:szCs w:val="24"/>
          <w:u w:val="single"/>
        </w:rPr>
        <w:t>Délai de mandatement</w:t>
      </w:r>
    </w:p>
    <w:p w14:paraId="7277DB59" w14:textId="77777777" w:rsidR="004917F8" w:rsidRPr="00D723D7" w:rsidRDefault="007F2D5C" w:rsidP="004917F8">
      <w:pPr>
        <w:spacing w:before="100" w:after="200"/>
        <w:rPr>
          <w:ins w:id="2" w:author="danielle.seow" w:date="2023-02-27T14:19:00Z"/>
        </w:rPr>
      </w:pPr>
      <w:r w:rsidRPr="007F2D5C">
        <w:rPr>
          <w:sz w:val="24"/>
        </w:rPr>
        <w:t>Le délai global de mandatement des factures est fixé à </w:t>
      </w:r>
      <w:r w:rsidR="004F47DF">
        <w:rPr>
          <w:sz w:val="24"/>
          <w:shd w:val="clear" w:color="auto" w:fill="FFFFFF"/>
        </w:rPr>
        <w:t>6</w:t>
      </w:r>
      <w:r w:rsidRPr="007F2D5C">
        <w:rPr>
          <w:sz w:val="24"/>
          <w:shd w:val="clear" w:color="auto" w:fill="FFFFFF"/>
        </w:rPr>
        <w:t>0 j</w:t>
      </w:r>
      <w:r w:rsidRPr="007F2D5C">
        <w:rPr>
          <w:sz w:val="24"/>
        </w:rPr>
        <w:t>ours</w:t>
      </w:r>
      <w:r w:rsidR="004917F8" w:rsidRPr="004917F8">
        <w:t xml:space="preserve"> </w:t>
      </w:r>
      <w:r w:rsidR="004917F8" w:rsidRPr="00D723D7">
        <w:t>à compter de la réception de la demande de paiement pour procéder au mandatement des sommes dues au titulaire.</w:t>
      </w:r>
    </w:p>
    <w:p w14:paraId="7B26C816" w14:textId="77777777" w:rsidR="009E5989" w:rsidRDefault="009E5989" w:rsidP="007F2D5C">
      <w:pPr>
        <w:spacing w:before="120"/>
        <w:jc w:val="both"/>
        <w:rPr>
          <w:sz w:val="24"/>
        </w:rPr>
      </w:pPr>
    </w:p>
    <w:p w14:paraId="19D6DD6B" w14:textId="77777777" w:rsidR="00AD3CFA" w:rsidRPr="007F2D5C" w:rsidRDefault="00AD3CFA" w:rsidP="007F2D5C">
      <w:pPr>
        <w:spacing w:before="120"/>
        <w:jc w:val="both"/>
        <w:rPr>
          <w:sz w:val="24"/>
        </w:rPr>
      </w:pPr>
    </w:p>
    <w:p w14:paraId="62F91B39" w14:textId="77777777" w:rsidR="007F2D5C" w:rsidRPr="007F2D5C" w:rsidRDefault="007F2D5C" w:rsidP="007F2D5C">
      <w:pPr>
        <w:keepNext/>
        <w:keepLines/>
        <w:numPr>
          <w:ilvl w:val="0"/>
          <w:numId w:val="7"/>
        </w:numPr>
        <w:pBdr>
          <w:bottom w:val="single" w:sz="4" w:space="1" w:color="auto"/>
        </w:pBdr>
        <w:spacing w:before="120"/>
        <w:ind w:left="851" w:hanging="851"/>
        <w:jc w:val="both"/>
        <w:outlineLvl w:val="0"/>
        <w:rPr>
          <w:rFonts w:eastAsiaTheme="majorEastAsia"/>
          <w:b/>
          <w:color w:val="2E74B5" w:themeColor="accent1" w:themeShade="BF"/>
          <w:sz w:val="28"/>
          <w:szCs w:val="28"/>
        </w:rPr>
      </w:pPr>
      <w:r w:rsidRPr="007F2D5C">
        <w:rPr>
          <w:rFonts w:eastAsiaTheme="majorEastAsia"/>
          <w:b/>
          <w:color w:val="2E74B5" w:themeColor="accent1" w:themeShade="BF"/>
          <w:sz w:val="28"/>
          <w:szCs w:val="28"/>
        </w:rPr>
        <w:t>PENALITES</w:t>
      </w:r>
    </w:p>
    <w:p w14:paraId="0996533F" w14:textId="77777777" w:rsidR="007F2D5C" w:rsidRPr="007F2D5C" w:rsidRDefault="007F2D5C" w:rsidP="007F2D5C">
      <w:pPr>
        <w:spacing w:line="20" w:lineRule="exact"/>
        <w:jc w:val="both"/>
        <w:rPr>
          <w:sz w:val="24"/>
          <w:szCs w:val="24"/>
        </w:rPr>
      </w:pPr>
    </w:p>
    <w:p w14:paraId="67043CD3" w14:textId="77777777" w:rsidR="007F2D5C" w:rsidRPr="007F2D5C" w:rsidRDefault="007F2D5C" w:rsidP="007F2D5C">
      <w:pPr>
        <w:keepNext/>
        <w:keepLines/>
        <w:numPr>
          <w:ilvl w:val="1"/>
          <w:numId w:val="7"/>
        </w:numPr>
        <w:spacing w:before="120"/>
        <w:ind w:left="851" w:hanging="851"/>
        <w:outlineLvl w:val="0"/>
        <w:rPr>
          <w:rFonts w:eastAsiaTheme="majorEastAsia"/>
          <w:b/>
          <w:color w:val="2E74B5" w:themeColor="accent1" w:themeShade="BF"/>
          <w:sz w:val="24"/>
          <w:szCs w:val="24"/>
          <w:u w:val="single"/>
        </w:rPr>
      </w:pPr>
      <w:r w:rsidRPr="007F2D5C">
        <w:rPr>
          <w:rFonts w:eastAsiaTheme="majorEastAsia"/>
          <w:b/>
          <w:color w:val="2E74B5" w:themeColor="accent1" w:themeShade="BF"/>
          <w:sz w:val="24"/>
          <w:szCs w:val="24"/>
          <w:u w:val="single"/>
        </w:rPr>
        <w:t>Pénalités pour retard</w:t>
      </w:r>
    </w:p>
    <w:p w14:paraId="289E598C" w14:textId="77777777" w:rsidR="007F2D5C" w:rsidRPr="007F2D5C" w:rsidRDefault="007F2D5C" w:rsidP="007F2D5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120"/>
        <w:jc w:val="both"/>
        <w:rPr>
          <w:sz w:val="24"/>
          <w:szCs w:val="24"/>
        </w:rPr>
      </w:pPr>
      <w:r w:rsidRPr="007F2D5C">
        <w:rPr>
          <w:sz w:val="24"/>
          <w:szCs w:val="24"/>
        </w:rPr>
        <w:t>Il sera fait application des dispositions de l’article 20 du CCAG.</w:t>
      </w:r>
    </w:p>
    <w:p w14:paraId="5DDE231A" w14:textId="77777777" w:rsidR="007F2D5C" w:rsidRPr="00291663" w:rsidRDefault="007F2D5C" w:rsidP="007F2D5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120"/>
        <w:jc w:val="both"/>
        <w:rPr>
          <w:sz w:val="24"/>
          <w:szCs w:val="24"/>
        </w:rPr>
      </w:pPr>
      <w:r w:rsidRPr="007F2D5C">
        <w:rPr>
          <w:sz w:val="24"/>
          <w:szCs w:val="24"/>
        </w:rPr>
        <w:t xml:space="preserve">L’entrepreneur </w:t>
      </w:r>
      <w:r w:rsidRPr="00291663">
        <w:rPr>
          <w:sz w:val="24"/>
          <w:szCs w:val="24"/>
        </w:rPr>
        <w:t>subira par jour calendaire de retard dans l’achèvement des travaux, une retenue égale à 1/3000</w:t>
      </w:r>
      <w:r w:rsidRPr="00291663">
        <w:rPr>
          <w:sz w:val="24"/>
          <w:szCs w:val="24"/>
          <w:vertAlign w:val="superscript"/>
        </w:rPr>
        <w:t>ème</w:t>
      </w:r>
      <w:r w:rsidRPr="00291663">
        <w:rPr>
          <w:sz w:val="24"/>
          <w:szCs w:val="24"/>
        </w:rPr>
        <w:t xml:space="preserve"> du montant du marché éventuellement augmenté du montant des avenants.</w:t>
      </w:r>
    </w:p>
    <w:p w14:paraId="2DF59515" w14:textId="77777777" w:rsidR="007F2D5C" w:rsidRDefault="007F2D5C" w:rsidP="007F2D5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 w:val="left" w:pos="0"/>
          <w:tab w:val="left" w:pos="432"/>
          <w:tab w:val="left" w:pos="720"/>
          <w:tab w:val="left" w:pos="1440"/>
          <w:tab w:val="left" w:pos="0"/>
          <w:tab w:val="left" w:pos="432"/>
          <w:tab w:val="left" w:pos="720"/>
        </w:tabs>
        <w:spacing w:before="120"/>
        <w:jc w:val="both"/>
        <w:rPr>
          <w:sz w:val="24"/>
          <w:szCs w:val="24"/>
        </w:rPr>
      </w:pPr>
      <w:r w:rsidRPr="00291663">
        <w:rPr>
          <w:sz w:val="24"/>
          <w:szCs w:val="24"/>
        </w:rPr>
        <w:t>Cette pénalité s’appliquera d’office, sans mise en demeure préalable à la simple constatation du retard par rapport au délai d’exécution du marché tel que défini à l’article 4.1 et 4.2.</w:t>
      </w:r>
    </w:p>
    <w:p w14:paraId="41650B0A" w14:textId="77777777" w:rsidR="007F2D5C" w:rsidRPr="00291663" w:rsidRDefault="007F2D5C" w:rsidP="007F2D5C">
      <w:pPr>
        <w:keepNext/>
        <w:keepLines/>
        <w:numPr>
          <w:ilvl w:val="1"/>
          <w:numId w:val="7"/>
        </w:numPr>
        <w:spacing w:before="120"/>
        <w:ind w:left="851" w:hanging="851"/>
        <w:outlineLvl w:val="0"/>
        <w:rPr>
          <w:rFonts w:eastAsiaTheme="majorEastAsia"/>
          <w:b/>
          <w:color w:val="2E74B5" w:themeColor="accent1" w:themeShade="BF"/>
          <w:sz w:val="24"/>
          <w:szCs w:val="24"/>
          <w:u w:val="single"/>
        </w:rPr>
      </w:pPr>
      <w:r w:rsidRPr="00291663">
        <w:rPr>
          <w:rFonts w:eastAsiaTheme="majorEastAsia"/>
          <w:b/>
          <w:color w:val="2E74B5" w:themeColor="accent1" w:themeShade="BF"/>
          <w:sz w:val="24"/>
          <w:szCs w:val="24"/>
          <w:u w:val="single"/>
        </w:rPr>
        <w:t>Autres pénalités</w:t>
      </w:r>
    </w:p>
    <w:p w14:paraId="5C655240" w14:textId="77777777" w:rsidR="007F2D5C" w:rsidRPr="007F2D5C" w:rsidRDefault="007F2D5C" w:rsidP="007F2D5C">
      <w:pPr>
        <w:tabs>
          <w:tab w:val="left" w:pos="920"/>
        </w:tabs>
        <w:spacing w:before="120"/>
        <w:jc w:val="both"/>
        <w:rPr>
          <w:rFonts w:eastAsia="Symbol"/>
          <w:sz w:val="24"/>
          <w:szCs w:val="24"/>
        </w:rPr>
      </w:pPr>
      <w:r w:rsidRPr="007F2D5C">
        <w:rPr>
          <w:rFonts w:eastAsia="Arial"/>
          <w:sz w:val="24"/>
          <w:szCs w:val="24"/>
        </w:rPr>
        <w:t>Absence de port d’équipement de protection individuelle (EPI) : 5.000 FCP.HT par jour.</w:t>
      </w:r>
    </w:p>
    <w:p w14:paraId="3611565D" w14:textId="77777777" w:rsidR="007F2D5C" w:rsidRPr="007F2D5C" w:rsidRDefault="007F2D5C" w:rsidP="007F2D5C">
      <w:pPr>
        <w:spacing w:line="91" w:lineRule="exact"/>
        <w:jc w:val="both"/>
        <w:rPr>
          <w:rFonts w:eastAsia="Symbol"/>
          <w:sz w:val="24"/>
          <w:szCs w:val="24"/>
        </w:rPr>
      </w:pPr>
    </w:p>
    <w:p w14:paraId="522B03F4" w14:textId="77777777" w:rsidR="007F2D5C" w:rsidRPr="007F2D5C" w:rsidRDefault="007F2D5C" w:rsidP="007F2D5C">
      <w:pPr>
        <w:tabs>
          <w:tab w:val="left" w:pos="920"/>
        </w:tabs>
        <w:jc w:val="both"/>
        <w:rPr>
          <w:rFonts w:eastAsia="Symbol"/>
          <w:sz w:val="24"/>
          <w:szCs w:val="24"/>
        </w:rPr>
      </w:pPr>
      <w:r w:rsidRPr="007F2D5C">
        <w:rPr>
          <w:rFonts w:eastAsia="Arial"/>
          <w:sz w:val="24"/>
          <w:szCs w:val="24"/>
        </w:rPr>
        <w:t>Absence de signalisation du chantier : 5.000 FCP.HT par jour.</w:t>
      </w:r>
    </w:p>
    <w:p w14:paraId="57437D22" w14:textId="77777777" w:rsidR="007F2D5C" w:rsidRPr="007F2D5C" w:rsidRDefault="007F2D5C" w:rsidP="007F2D5C">
      <w:pPr>
        <w:spacing w:line="91" w:lineRule="exact"/>
        <w:jc w:val="both"/>
        <w:rPr>
          <w:rFonts w:eastAsia="Symbol"/>
          <w:sz w:val="24"/>
          <w:szCs w:val="24"/>
        </w:rPr>
      </w:pPr>
    </w:p>
    <w:p w14:paraId="532464DB" w14:textId="77777777" w:rsidR="007F2D5C" w:rsidRPr="007F2D5C" w:rsidRDefault="007F2D5C" w:rsidP="007F2D5C">
      <w:pPr>
        <w:tabs>
          <w:tab w:val="left" w:pos="920"/>
        </w:tabs>
        <w:jc w:val="both"/>
        <w:rPr>
          <w:rFonts w:eastAsia="Symbol"/>
          <w:sz w:val="24"/>
          <w:szCs w:val="24"/>
        </w:rPr>
      </w:pPr>
      <w:r w:rsidRPr="007F2D5C">
        <w:rPr>
          <w:rFonts w:eastAsia="Arial"/>
          <w:sz w:val="24"/>
          <w:szCs w:val="24"/>
        </w:rPr>
        <w:t>Absence de remise en état des lieux : 1/3000</w:t>
      </w:r>
      <w:r w:rsidRPr="007F2D5C">
        <w:rPr>
          <w:rFonts w:eastAsia="Arial"/>
          <w:sz w:val="24"/>
          <w:szCs w:val="24"/>
          <w:vertAlign w:val="superscript"/>
        </w:rPr>
        <w:t>ème</w:t>
      </w:r>
      <w:r w:rsidRPr="007F2D5C">
        <w:rPr>
          <w:rFonts w:eastAsia="Arial"/>
          <w:sz w:val="24"/>
          <w:szCs w:val="24"/>
        </w:rPr>
        <w:t>du montant HT du marché</w:t>
      </w:r>
      <w:r>
        <w:rPr>
          <w:rFonts w:eastAsia="Arial"/>
          <w:sz w:val="24"/>
          <w:szCs w:val="24"/>
        </w:rPr>
        <w:t xml:space="preserve"> </w:t>
      </w:r>
      <w:r w:rsidRPr="007F2D5C">
        <w:rPr>
          <w:rFonts w:eastAsia="Arial"/>
          <w:sz w:val="24"/>
          <w:szCs w:val="24"/>
        </w:rPr>
        <w:t>par jour.</w:t>
      </w:r>
    </w:p>
    <w:p w14:paraId="363E07CA" w14:textId="77777777" w:rsidR="007F2D5C" w:rsidRPr="007F2D5C" w:rsidRDefault="007F2D5C" w:rsidP="007F2D5C">
      <w:pPr>
        <w:spacing w:line="93" w:lineRule="exact"/>
        <w:jc w:val="both"/>
        <w:rPr>
          <w:rFonts w:eastAsia="Symbol"/>
          <w:sz w:val="24"/>
          <w:szCs w:val="24"/>
        </w:rPr>
      </w:pPr>
    </w:p>
    <w:p w14:paraId="04BDAF3F" w14:textId="77777777" w:rsidR="007F2D5C" w:rsidRPr="007F2D5C" w:rsidRDefault="007F2D5C" w:rsidP="007F2D5C">
      <w:pPr>
        <w:tabs>
          <w:tab w:val="left" w:pos="920"/>
        </w:tabs>
        <w:jc w:val="both"/>
        <w:rPr>
          <w:rFonts w:eastAsia="Symbol"/>
          <w:sz w:val="24"/>
          <w:szCs w:val="24"/>
        </w:rPr>
      </w:pPr>
      <w:r w:rsidRPr="007F2D5C">
        <w:rPr>
          <w:rFonts w:eastAsia="Arial"/>
          <w:sz w:val="24"/>
          <w:szCs w:val="24"/>
        </w:rPr>
        <w:t>Présence d’un sous-traitant ou de salariés non déclarés : 15.000 CFP.HT par jour.</w:t>
      </w:r>
    </w:p>
    <w:p w14:paraId="7BF8B5B6" w14:textId="77777777" w:rsidR="007F2D5C" w:rsidRPr="007F2D5C" w:rsidRDefault="007F2D5C" w:rsidP="007F2D5C">
      <w:pPr>
        <w:spacing w:line="88" w:lineRule="exact"/>
        <w:jc w:val="both"/>
        <w:rPr>
          <w:rFonts w:eastAsia="Symbol"/>
          <w:sz w:val="24"/>
          <w:szCs w:val="24"/>
        </w:rPr>
      </w:pPr>
    </w:p>
    <w:p w14:paraId="0F5FFF4E" w14:textId="77777777" w:rsidR="007F2D5C" w:rsidRPr="007F2D5C" w:rsidRDefault="007F2D5C" w:rsidP="007F2D5C">
      <w:pPr>
        <w:tabs>
          <w:tab w:val="left" w:pos="920"/>
        </w:tabs>
        <w:jc w:val="both"/>
        <w:rPr>
          <w:rFonts w:eastAsia="Arial"/>
          <w:sz w:val="24"/>
          <w:szCs w:val="24"/>
        </w:rPr>
      </w:pPr>
      <w:r w:rsidRPr="007F2D5C">
        <w:rPr>
          <w:rFonts w:eastAsia="Arial"/>
          <w:sz w:val="24"/>
          <w:szCs w:val="24"/>
        </w:rPr>
        <w:t xml:space="preserve">Non-respect du </w:t>
      </w:r>
      <w:r w:rsidRPr="007F2D5C">
        <w:rPr>
          <w:rFonts w:eastAsia="Arial"/>
          <w:bCs/>
          <w:sz w:val="24"/>
          <w:szCs w:val="24"/>
        </w:rPr>
        <w:t>CCTP</w:t>
      </w:r>
      <w:r w:rsidRPr="007F2D5C">
        <w:rPr>
          <w:rFonts w:eastAsia="Arial"/>
          <w:sz w:val="24"/>
          <w:szCs w:val="24"/>
        </w:rPr>
        <w:t xml:space="preserve"> : 1/3000</w:t>
      </w:r>
      <w:r w:rsidRPr="007F2D5C">
        <w:rPr>
          <w:rFonts w:eastAsia="Arial"/>
          <w:sz w:val="24"/>
          <w:szCs w:val="24"/>
          <w:vertAlign w:val="superscript"/>
        </w:rPr>
        <w:t>ème</w:t>
      </w:r>
      <w:r w:rsidRPr="007F2D5C">
        <w:rPr>
          <w:rFonts w:eastAsia="Arial"/>
          <w:sz w:val="24"/>
          <w:szCs w:val="24"/>
        </w:rPr>
        <w:t>du montant HT du marché</w:t>
      </w:r>
      <w:r>
        <w:rPr>
          <w:rFonts w:eastAsia="Arial"/>
          <w:sz w:val="24"/>
          <w:szCs w:val="24"/>
        </w:rPr>
        <w:t xml:space="preserve"> </w:t>
      </w:r>
      <w:r w:rsidRPr="007F2D5C">
        <w:rPr>
          <w:rFonts w:eastAsia="Arial"/>
          <w:sz w:val="24"/>
          <w:szCs w:val="24"/>
        </w:rPr>
        <w:t>par jour.</w:t>
      </w:r>
    </w:p>
    <w:p w14:paraId="70D2144C" w14:textId="77777777" w:rsidR="007F2D5C" w:rsidRDefault="007F2D5C" w:rsidP="007F2D5C">
      <w:pPr>
        <w:tabs>
          <w:tab w:val="left" w:pos="920"/>
        </w:tabs>
        <w:jc w:val="both"/>
        <w:rPr>
          <w:rFonts w:eastAsia="Arial"/>
          <w:sz w:val="24"/>
          <w:szCs w:val="24"/>
        </w:rPr>
      </w:pPr>
    </w:p>
    <w:p w14:paraId="466193F5" w14:textId="77777777" w:rsidR="00211EDD" w:rsidRPr="00211EDD" w:rsidRDefault="007F2D5C" w:rsidP="00211EDD">
      <w:pPr>
        <w:keepNext/>
        <w:keepLines/>
        <w:numPr>
          <w:ilvl w:val="0"/>
          <w:numId w:val="7"/>
        </w:numPr>
        <w:pBdr>
          <w:bottom w:val="single" w:sz="4" w:space="1" w:color="auto"/>
        </w:pBdr>
        <w:spacing w:before="120"/>
        <w:ind w:left="851" w:hanging="851"/>
        <w:jc w:val="both"/>
        <w:outlineLvl w:val="0"/>
        <w:rPr>
          <w:rFonts w:eastAsiaTheme="majorEastAsia"/>
          <w:b/>
          <w:color w:val="2E74B5" w:themeColor="accent1" w:themeShade="BF"/>
          <w:sz w:val="28"/>
          <w:szCs w:val="28"/>
        </w:rPr>
      </w:pPr>
      <w:r w:rsidRPr="007F2D5C">
        <w:rPr>
          <w:rFonts w:eastAsiaTheme="majorEastAsia"/>
          <w:b/>
          <w:color w:val="2E74B5" w:themeColor="accent1" w:themeShade="BF"/>
          <w:sz w:val="28"/>
          <w:szCs w:val="28"/>
        </w:rPr>
        <w:t>EXECUTION, CONTROLES ET RECEPTION DES TRAVAUX</w:t>
      </w:r>
    </w:p>
    <w:p w14:paraId="2875EAA8" w14:textId="77777777" w:rsidR="007F2D5C" w:rsidRPr="007F2D5C" w:rsidRDefault="007F2D5C" w:rsidP="007F2D5C">
      <w:pPr>
        <w:keepNext/>
        <w:keepLines/>
        <w:numPr>
          <w:ilvl w:val="1"/>
          <w:numId w:val="7"/>
        </w:numPr>
        <w:spacing w:before="120"/>
        <w:ind w:left="851" w:hanging="851"/>
        <w:outlineLvl w:val="0"/>
        <w:rPr>
          <w:rFonts w:eastAsiaTheme="majorEastAsia"/>
          <w:b/>
          <w:color w:val="2E74B5" w:themeColor="accent1" w:themeShade="BF"/>
          <w:sz w:val="24"/>
          <w:szCs w:val="24"/>
          <w:u w:val="single"/>
        </w:rPr>
      </w:pPr>
      <w:r w:rsidRPr="007F2D5C">
        <w:rPr>
          <w:rFonts w:eastAsiaTheme="majorEastAsia"/>
          <w:b/>
          <w:color w:val="2E74B5" w:themeColor="accent1" w:themeShade="BF"/>
          <w:sz w:val="24"/>
          <w:szCs w:val="24"/>
          <w:u w:val="single"/>
        </w:rPr>
        <w:t>Mesures sociales – règlementation du travail</w:t>
      </w:r>
    </w:p>
    <w:p w14:paraId="4EB801E7" w14:textId="77777777" w:rsidR="007F2D5C" w:rsidRDefault="007F2D5C" w:rsidP="007F2D5C">
      <w:pPr>
        <w:spacing w:before="120" w:line="219" w:lineRule="auto"/>
        <w:ind w:right="120"/>
        <w:jc w:val="both"/>
        <w:rPr>
          <w:sz w:val="24"/>
          <w:szCs w:val="24"/>
        </w:rPr>
      </w:pPr>
      <w:r w:rsidRPr="007F2D5C">
        <w:rPr>
          <w:sz w:val="24"/>
          <w:szCs w:val="24"/>
        </w:rPr>
        <w:t>Le titulaire et ses éventuels sous-traitants ou cotraitants sont soumis aux obligations résultant des lois et règlements relatifs à la protection de la main-d’œuvre et aux conditions de travail.</w:t>
      </w:r>
    </w:p>
    <w:p w14:paraId="042DD0B7" w14:textId="77777777" w:rsidR="008A2D15" w:rsidRPr="005C1D2C" w:rsidRDefault="008A2D15" w:rsidP="008A2D15">
      <w:pPr>
        <w:pStyle w:val="Titre1"/>
        <w:numPr>
          <w:ilvl w:val="1"/>
          <w:numId w:val="7"/>
        </w:numPr>
        <w:spacing w:before="120"/>
        <w:ind w:left="851" w:hanging="851"/>
        <w:rPr>
          <w:rFonts w:ascii="Times New Roman" w:hAnsi="Times New Roman" w:cs="Times New Roman"/>
          <w:b/>
          <w:sz w:val="24"/>
          <w:szCs w:val="24"/>
          <w:u w:val="single"/>
        </w:rPr>
      </w:pPr>
      <w:r w:rsidRPr="005C1D2C">
        <w:rPr>
          <w:rFonts w:ascii="Times New Roman" w:hAnsi="Times New Roman" w:cs="Times New Roman"/>
          <w:b/>
          <w:sz w:val="24"/>
          <w:szCs w:val="24"/>
          <w:u w:val="single"/>
        </w:rPr>
        <w:lastRenderedPageBreak/>
        <w:t>Essais et contrôles des ouvrages en cours de travaux</w:t>
      </w:r>
    </w:p>
    <w:p w14:paraId="6CACAF21" w14:textId="77777777" w:rsidR="008A2D15" w:rsidRPr="005C1D2C" w:rsidRDefault="008A2D15" w:rsidP="008A2D15">
      <w:pPr>
        <w:spacing w:before="120" w:line="219" w:lineRule="auto"/>
        <w:ind w:right="120"/>
        <w:jc w:val="both"/>
        <w:rPr>
          <w:sz w:val="24"/>
          <w:szCs w:val="24"/>
        </w:rPr>
      </w:pPr>
      <w:r w:rsidRPr="005C1D2C">
        <w:rPr>
          <w:sz w:val="24"/>
          <w:szCs w:val="24"/>
        </w:rPr>
        <w:t>Les essais et contrôles d’ouvrages ou parties d’ouvrages prévus par les fascicules intéressés du CCTG ou le CCTP seront assurés sur le chantier, par le Laboratoire des Travaux Publics de Polynésie française. Les dispositions de l’article 24 du CCAG, relatives aux essais et vérifications à effectuer sur les matériaux et produits mis en œuvre, sont applicables à ces essais.</w:t>
      </w:r>
    </w:p>
    <w:p w14:paraId="37C77D19" w14:textId="77777777" w:rsidR="008A2D15" w:rsidRPr="005C1D2C" w:rsidRDefault="008A2D15" w:rsidP="008A2D15">
      <w:pPr>
        <w:tabs>
          <w:tab w:val="left" w:pos="0"/>
          <w:tab w:val="left" w:pos="432"/>
          <w:tab w:val="left" w:pos="720"/>
          <w:tab w:val="left" w:pos="1440"/>
          <w:tab w:val="left" w:pos="0"/>
          <w:tab w:val="left" w:pos="432"/>
          <w:tab w:val="left" w:pos="720"/>
          <w:tab w:val="left" w:pos="1440"/>
          <w:tab w:val="left" w:pos="0"/>
          <w:tab w:val="left" w:pos="432"/>
          <w:tab w:val="left" w:pos="720"/>
        </w:tabs>
        <w:spacing w:before="120" w:line="219" w:lineRule="auto"/>
        <w:ind w:right="120"/>
        <w:jc w:val="both"/>
        <w:rPr>
          <w:sz w:val="24"/>
          <w:szCs w:val="24"/>
        </w:rPr>
      </w:pPr>
      <w:r w:rsidRPr="005C1D2C">
        <w:rPr>
          <w:sz w:val="24"/>
          <w:szCs w:val="24"/>
        </w:rPr>
        <w:t xml:space="preserve">Par dérogation </w:t>
      </w:r>
      <w:proofErr w:type="spellStart"/>
      <w:r w:rsidRPr="005C1D2C">
        <w:rPr>
          <w:sz w:val="24"/>
          <w:szCs w:val="24"/>
        </w:rPr>
        <w:t>a</w:t>
      </w:r>
      <w:proofErr w:type="spellEnd"/>
      <w:r w:rsidRPr="005C1D2C">
        <w:rPr>
          <w:sz w:val="24"/>
          <w:szCs w:val="24"/>
        </w:rPr>
        <w:t xml:space="preserve">̀ l’article 38 du CCAG, le maitre d’ouvrage peut décider de faire exécuter des essais de vérification en sus de ceux définis par le marché. Si ces essais de vérification révèlent une non-conformité́ de l’installation, ils seront </w:t>
      </w:r>
      <w:proofErr w:type="spellStart"/>
      <w:r w:rsidRPr="005C1D2C">
        <w:rPr>
          <w:sz w:val="24"/>
          <w:szCs w:val="24"/>
        </w:rPr>
        <w:t>a</w:t>
      </w:r>
      <w:proofErr w:type="spellEnd"/>
      <w:r w:rsidRPr="005C1D2C">
        <w:rPr>
          <w:sz w:val="24"/>
          <w:szCs w:val="24"/>
        </w:rPr>
        <w:t xml:space="preserve">̀ la charge de l’entrepreneur ; dans le cas contraire, ils seront </w:t>
      </w:r>
      <w:proofErr w:type="spellStart"/>
      <w:r w:rsidRPr="005C1D2C">
        <w:rPr>
          <w:sz w:val="24"/>
          <w:szCs w:val="24"/>
        </w:rPr>
        <w:t>a</w:t>
      </w:r>
      <w:proofErr w:type="spellEnd"/>
      <w:r w:rsidRPr="005C1D2C">
        <w:rPr>
          <w:sz w:val="24"/>
          <w:szCs w:val="24"/>
        </w:rPr>
        <w:t xml:space="preserve">̀ la charge du maitre d’ouvrage. </w:t>
      </w:r>
    </w:p>
    <w:p w14:paraId="7B170883" w14:textId="77777777" w:rsidR="008A2D15" w:rsidRDefault="008A2D15" w:rsidP="008A2D15">
      <w:pPr>
        <w:tabs>
          <w:tab w:val="left" w:pos="0"/>
          <w:tab w:val="left" w:pos="432"/>
          <w:tab w:val="left" w:pos="720"/>
          <w:tab w:val="left" w:pos="1440"/>
          <w:tab w:val="left" w:pos="0"/>
          <w:tab w:val="left" w:pos="432"/>
          <w:tab w:val="left" w:pos="720"/>
          <w:tab w:val="left" w:pos="1440"/>
          <w:tab w:val="left" w:pos="0"/>
          <w:tab w:val="left" w:pos="432"/>
          <w:tab w:val="left" w:pos="720"/>
        </w:tabs>
        <w:spacing w:before="120" w:line="219" w:lineRule="auto"/>
        <w:ind w:right="120"/>
        <w:jc w:val="both"/>
        <w:rPr>
          <w:sz w:val="24"/>
          <w:szCs w:val="24"/>
        </w:rPr>
      </w:pPr>
      <w:r w:rsidRPr="005C1D2C">
        <w:rPr>
          <w:sz w:val="24"/>
          <w:szCs w:val="24"/>
        </w:rPr>
        <w:t>Dans tous les cas, tout essai rendu nécessaire par le non-respect des règles de l’art (et ce par le seul fait de l’entrepreneur) sera à sa charge.</w:t>
      </w:r>
    </w:p>
    <w:p w14:paraId="3DAE8107" w14:textId="77777777" w:rsidR="007F2D5C" w:rsidRPr="007F2D5C" w:rsidRDefault="007F2D5C" w:rsidP="007F2D5C">
      <w:pPr>
        <w:keepNext/>
        <w:keepLines/>
        <w:numPr>
          <w:ilvl w:val="1"/>
          <w:numId w:val="7"/>
        </w:numPr>
        <w:spacing w:before="120"/>
        <w:ind w:left="851" w:hanging="851"/>
        <w:outlineLvl w:val="0"/>
        <w:rPr>
          <w:rFonts w:eastAsiaTheme="majorEastAsia"/>
          <w:b/>
          <w:color w:val="2E74B5" w:themeColor="accent1" w:themeShade="BF"/>
          <w:sz w:val="24"/>
          <w:szCs w:val="24"/>
          <w:u w:val="single"/>
        </w:rPr>
      </w:pPr>
      <w:r w:rsidRPr="007F2D5C">
        <w:rPr>
          <w:rFonts w:eastAsiaTheme="majorEastAsia"/>
          <w:b/>
          <w:color w:val="2E74B5" w:themeColor="accent1" w:themeShade="BF"/>
          <w:sz w:val="24"/>
          <w:szCs w:val="24"/>
          <w:u w:val="single"/>
        </w:rPr>
        <w:t>Réception</w:t>
      </w:r>
    </w:p>
    <w:p w14:paraId="6A98B1B2" w14:textId="77777777" w:rsidR="007F2D5C" w:rsidRDefault="007F2D5C" w:rsidP="007F2D5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432"/>
          <w:tab w:val="left" w:pos="720"/>
          <w:tab w:val="left" w:pos="1440"/>
        </w:tabs>
        <w:spacing w:before="120"/>
        <w:jc w:val="both"/>
        <w:rPr>
          <w:sz w:val="24"/>
          <w:szCs w:val="24"/>
        </w:rPr>
      </w:pPr>
      <w:r w:rsidRPr="007F2D5C">
        <w:rPr>
          <w:sz w:val="24"/>
          <w:szCs w:val="24"/>
        </w:rPr>
        <w:t>Les travaux feront l’objet d’une réception prononcée dans les conditions des articles 41 et 42 du CCAG. Toutefois, par dérogation à l’article 42.1 du CCAG, la réception a lieu à l’achèvement de l’ensemble des travaux. Elle prend effet à la date de cet achèvement.</w:t>
      </w:r>
    </w:p>
    <w:p w14:paraId="7EE5F6CA" w14:textId="77777777" w:rsidR="007F2D5C" w:rsidRPr="007F2D5C" w:rsidRDefault="007F2D5C" w:rsidP="007F2D5C">
      <w:pPr>
        <w:keepNext/>
        <w:keepLines/>
        <w:numPr>
          <w:ilvl w:val="1"/>
          <w:numId w:val="7"/>
        </w:numPr>
        <w:spacing w:before="120"/>
        <w:ind w:left="851" w:hanging="851"/>
        <w:outlineLvl w:val="0"/>
        <w:rPr>
          <w:rFonts w:eastAsiaTheme="majorEastAsia"/>
          <w:b/>
          <w:color w:val="2E74B5" w:themeColor="accent1" w:themeShade="BF"/>
          <w:sz w:val="24"/>
          <w:szCs w:val="24"/>
          <w:u w:val="single"/>
        </w:rPr>
      </w:pPr>
      <w:r w:rsidRPr="007F2D5C">
        <w:rPr>
          <w:rFonts w:eastAsiaTheme="majorEastAsia"/>
          <w:b/>
          <w:color w:val="2E74B5" w:themeColor="accent1" w:themeShade="BF"/>
          <w:sz w:val="24"/>
          <w:szCs w:val="24"/>
          <w:u w:val="single"/>
        </w:rPr>
        <w:t>Délai de garantie</w:t>
      </w:r>
    </w:p>
    <w:p w14:paraId="5739B09F" w14:textId="77777777" w:rsidR="007F2D5C" w:rsidRPr="007F2D5C" w:rsidRDefault="007F2D5C" w:rsidP="007F2D5C">
      <w:pPr>
        <w:tabs>
          <w:tab w:val="left" w:pos="1418"/>
          <w:tab w:val="left" w:pos="1701"/>
        </w:tabs>
        <w:spacing w:before="120"/>
        <w:jc w:val="both"/>
        <w:rPr>
          <w:sz w:val="24"/>
          <w:szCs w:val="24"/>
        </w:rPr>
      </w:pPr>
      <w:r w:rsidRPr="007F2D5C">
        <w:rPr>
          <w:sz w:val="24"/>
          <w:szCs w:val="24"/>
        </w:rPr>
        <w:t>Le délai de garantie est fixé à UN (1) AN à compter de la réception des travaux. Il prendra fin à la date de levée de la dernière réserve, le cas échéant.</w:t>
      </w:r>
    </w:p>
    <w:p w14:paraId="5B39ACBC" w14:textId="77777777" w:rsidR="007F2D5C" w:rsidRDefault="007F2D5C" w:rsidP="007F2D5C">
      <w:pPr>
        <w:spacing w:before="120"/>
        <w:jc w:val="both"/>
        <w:rPr>
          <w:sz w:val="24"/>
          <w:szCs w:val="24"/>
        </w:rPr>
      </w:pPr>
      <w:r w:rsidRPr="007F2D5C">
        <w:rPr>
          <w:sz w:val="24"/>
          <w:szCs w:val="24"/>
        </w:rPr>
        <w:t>Pendant cette période, dite obligation de parfait achèvement, l’entrepreneur assurera l’entretien, le remboursement ou la reconstruction, à ses frais exclusifs, des ouvrages selon les stipulations mentionnées dans le CCTP s’y rapportant.</w:t>
      </w:r>
    </w:p>
    <w:p w14:paraId="4EA4947E" w14:textId="77777777" w:rsidR="007F2D5C" w:rsidRPr="007F2D5C" w:rsidRDefault="007F2D5C" w:rsidP="007F2D5C">
      <w:pPr>
        <w:keepNext/>
        <w:keepLines/>
        <w:numPr>
          <w:ilvl w:val="1"/>
          <w:numId w:val="7"/>
        </w:numPr>
        <w:spacing w:before="120"/>
        <w:ind w:left="851" w:hanging="851"/>
        <w:outlineLvl w:val="0"/>
        <w:rPr>
          <w:rFonts w:eastAsiaTheme="majorEastAsia"/>
          <w:b/>
          <w:color w:val="2E74B5" w:themeColor="accent1" w:themeShade="BF"/>
          <w:sz w:val="24"/>
          <w:szCs w:val="24"/>
          <w:u w:val="single"/>
        </w:rPr>
      </w:pPr>
      <w:r w:rsidRPr="007F2D5C">
        <w:rPr>
          <w:rFonts w:eastAsiaTheme="majorEastAsia"/>
          <w:b/>
          <w:color w:val="2E74B5" w:themeColor="accent1" w:themeShade="BF"/>
          <w:sz w:val="24"/>
          <w:szCs w:val="24"/>
          <w:u w:val="single"/>
        </w:rPr>
        <w:t>Assurance</w:t>
      </w:r>
    </w:p>
    <w:p w14:paraId="1AE18AB4" w14:textId="77777777" w:rsidR="007F2D5C" w:rsidRPr="007F2D5C" w:rsidRDefault="007F2D5C" w:rsidP="007F2D5C">
      <w:pPr>
        <w:spacing w:line="20" w:lineRule="exact"/>
        <w:jc w:val="both"/>
        <w:rPr>
          <w:sz w:val="24"/>
          <w:szCs w:val="24"/>
        </w:rPr>
      </w:pPr>
    </w:p>
    <w:p w14:paraId="5992E891" w14:textId="77777777" w:rsidR="007F2D5C" w:rsidRPr="007F2D5C" w:rsidRDefault="007F2D5C" w:rsidP="007F2D5C">
      <w:pPr>
        <w:spacing w:before="120" w:line="233" w:lineRule="auto"/>
        <w:ind w:right="120"/>
        <w:jc w:val="both"/>
        <w:rPr>
          <w:sz w:val="24"/>
          <w:szCs w:val="24"/>
        </w:rPr>
      </w:pPr>
      <w:r w:rsidRPr="007F2D5C">
        <w:rPr>
          <w:sz w:val="24"/>
          <w:szCs w:val="24"/>
        </w:rPr>
        <w:t>Les titulaires et, le cas échéant, leurs sous-traitants doivent être garantis par une police destinée à couvrir leur responsabilité civile en cas de préjudices causés à des tiers, y compris le maître de l’ouvrage, à la suite de tout dommage corporel, matériel et immatériel consécutif, du fait de l’opération en cours de réalisation ou après sa réception.</w:t>
      </w:r>
    </w:p>
    <w:p w14:paraId="73F0DFF5" w14:textId="77777777" w:rsidR="009757C1" w:rsidRPr="007F2D5C" w:rsidRDefault="009757C1" w:rsidP="007F2D5C">
      <w:pPr>
        <w:spacing w:before="120" w:line="290" w:lineRule="exact"/>
        <w:jc w:val="both"/>
        <w:rPr>
          <w:sz w:val="24"/>
          <w:szCs w:val="24"/>
        </w:rPr>
      </w:pPr>
    </w:p>
    <w:p w14:paraId="7ACCBFAC" w14:textId="77777777" w:rsidR="007F2D5C" w:rsidRPr="007F2D5C" w:rsidRDefault="007F2D5C" w:rsidP="007F2D5C">
      <w:pPr>
        <w:keepNext/>
        <w:keepLines/>
        <w:numPr>
          <w:ilvl w:val="0"/>
          <w:numId w:val="7"/>
        </w:numPr>
        <w:pBdr>
          <w:bottom w:val="single" w:sz="4" w:space="1" w:color="auto"/>
        </w:pBdr>
        <w:spacing w:before="120"/>
        <w:ind w:left="851" w:hanging="851"/>
        <w:jc w:val="both"/>
        <w:outlineLvl w:val="0"/>
        <w:rPr>
          <w:rFonts w:eastAsiaTheme="majorEastAsia"/>
          <w:b/>
          <w:color w:val="2E74B5" w:themeColor="accent1" w:themeShade="BF"/>
          <w:sz w:val="28"/>
          <w:szCs w:val="28"/>
        </w:rPr>
      </w:pPr>
      <w:r w:rsidRPr="007F2D5C">
        <w:rPr>
          <w:rFonts w:eastAsiaTheme="majorEastAsia"/>
          <w:b/>
          <w:color w:val="2E74B5" w:themeColor="accent1" w:themeShade="BF"/>
          <w:sz w:val="28"/>
          <w:szCs w:val="28"/>
        </w:rPr>
        <w:t>LITIGES</w:t>
      </w:r>
    </w:p>
    <w:p w14:paraId="1BE22B7D" w14:textId="77777777" w:rsidR="007F2D5C" w:rsidRPr="007F2D5C" w:rsidRDefault="007F2D5C" w:rsidP="007F2D5C">
      <w:pPr>
        <w:spacing w:line="20" w:lineRule="exact"/>
        <w:jc w:val="both"/>
        <w:rPr>
          <w:sz w:val="24"/>
          <w:szCs w:val="24"/>
        </w:rPr>
      </w:pPr>
    </w:p>
    <w:p w14:paraId="4EAB1394" w14:textId="77777777" w:rsidR="007F2D5C" w:rsidRPr="007F2D5C" w:rsidRDefault="007F2D5C" w:rsidP="007F2D5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0"/>
          <w:tab w:val="left" w:pos="432"/>
          <w:tab w:val="left" w:pos="720"/>
          <w:tab w:val="left" w:pos="14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jc w:val="both"/>
        <w:rPr>
          <w:sz w:val="24"/>
          <w:szCs w:val="24"/>
        </w:rPr>
      </w:pPr>
      <w:r w:rsidRPr="007F2D5C">
        <w:rPr>
          <w:sz w:val="24"/>
          <w:szCs w:val="24"/>
        </w:rPr>
        <w:t>En cas de litige, le Tribunal Administratif compétent sera celui de PAPEETE.</w:t>
      </w:r>
    </w:p>
    <w:p w14:paraId="141B0550" w14:textId="77777777" w:rsidR="007F2D5C" w:rsidRPr="007F2D5C" w:rsidRDefault="007F2D5C" w:rsidP="007F2D5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0"/>
          <w:tab w:val="left" w:pos="432"/>
          <w:tab w:val="left" w:pos="720"/>
          <w:tab w:val="left" w:pos="14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jc w:val="both"/>
        <w:rPr>
          <w:sz w:val="24"/>
          <w:szCs w:val="24"/>
        </w:rPr>
      </w:pPr>
    </w:p>
    <w:p w14:paraId="6BA77ACB" w14:textId="77777777" w:rsidR="007F2D5C" w:rsidRPr="007F2D5C" w:rsidRDefault="007F2D5C" w:rsidP="007F2D5C">
      <w:pPr>
        <w:keepNext/>
        <w:keepLines/>
        <w:numPr>
          <w:ilvl w:val="0"/>
          <w:numId w:val="7"/>
        </w:numPr>
        <w:pBdr>
          <w:bottom w:val="single" w:sz="4" w:space="1" w:color="auto"/>
        </w:pBdr>
        <w:spacing w:before="120"/>
        <w:ind w:left="851" w:hanging="851"/>
        <w:jc w:val="both"/>
        <w:outlineLvl w:val="0"/>
        <w:rPr>
          <w:rFonts w:eastAsiaTheme="majorEastAsia"/>
          <w:b/>
          <w:color w:val="2E74B5" w:themeColor="accent1" w:themeShade="BF"/>
          <w:sz w:val="28"/>
          <w:szCs w:val="28"/>
        </w:rPr>
      </w:pPr>
      <w:r w:rsidRPr="007F2D5C">
        <w:rPr>
          <w:rFonts w:eastAsiaTheme="majorEastAsia"/>
          <w:b/>
          <w:color w:val="2E74B5" w:themeColor="accent1" w:themeShade="BF"/>
          <w:sz w:val="28"/>
          <w:szCs w:val="28"/>
        </w:rPr>
        <w:t>DEROGATIONS AUX TEXTES GENERAUX</w:t>
      </w:r>
    </w:p>
    <w:p w14:paraId="131EA872" w14:textId="77777777" w:rsidR="007F2D5C" w:rsidRDefault="00B227BB" w:rsidP="007F2D5C">
      <w:pPr>
        <w:tabs>
          <w:tab w:val="left" w:pos="0"/>
          <w:tab w:val="left" w:pos="432"/>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jc w:val="both"/>
        <w:rPr>
          <w:sz w:val="24"/>
          <w:szCs w:val="24"/>
        </w:rPr>
      </w:pPr>
      <w:r w:rsidRPr="001C4761">
        <w:rPr>
          <w:sz w:val="24"/>
          <w:szCs w:val="24"/>
        </w:rPr>
        <w:t>L’article 4.</w:t>
      </w:r>
      <w:r w:rsidR="00267528" w:rsidRPr="001C4761">
        <w:rPr>
          <w:sz w:val="24"/>
          <w:szCs w:val="24"/>
        </w:rPr>
        <w:t>2</w:t>
      </w:r>
      <w:r w:rsidRPr="001C4761">
        <w:rPr>
          <w:sz w:val="24"/>
          <w:szCs w:val="24"/>
        </w:rPr>
        <w:t xml:space="preserve"> du présent CCAP déroge à l'article 42.1 du CCAG.</w:t>
      </w:r>
      <w:r w:rsidR="006845AA">
        <w:rPr>
          <w:sz w:val="24"/>
          <w:szCs w:val="24"/>
        </w:rPr>
        <w:t xml:space="preserve"> </w:t>
      </w:r>
    </w:p>
    <w:p w14:paraId="1A30EA11" w14:textId="77777777" w:rsidR="007A3F7B" w:rsidRDefault="007A3F7B" w:rsidP="007F2D5C">
      <w:pPr>
        <w:tabs>
          <w:tab w:val="left" w:pos="0"/>
          <w:tab w:val="left" w:pos="432"/>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jc w:val="both"/>
        <w:rPr>
          <w:sz w:val="24"/>
          <w:szCs w:val="24"/>
        </w:rPr>
      </w:pPr>
    </w:p>
    <w:p w14:paraId="6190610B" w14:textId="77777777" w:rsidR="007A3F7B" w:rsidRDefault="007A3F7B" w:rsidP="007F2D5C">
      <w:pPr>
        <w:tabs>
          <w:tab w:val="left" w:pos="0"/>
          <w:tab w:val="left" w:pos="432"/>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jc w:val="both"/>
        <w:rPr>
          <w:sz w:val="24"/>
          <w:szCs w:val="24"/>
        </w:rPr>
      </w:pPr>
    </w:p>
    <w:p w14:paraId="7AE7DF26" w14:textId="77777777" w:rsidR="007A3F7B" w:rsidRPr="007F2D5C" w:rsidRDefault="007A3F7B" w:rsidP="007F2D5C">
      <w:pPr>
        <w:tabs>
          <w:tab w:val="left" w:pos="0"/>
          <w:tab w:val="left" w:pos="432"/>
          <w:tab w:val="left" w:pos="720"/>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008"/>
          <w:tab w:val="left" w:pos="1440"/>
          <w:tab w:val="left" w:pos="2160"/>
        </w:tabs>
        <w:spacing w:before="120"/>
        <w:jc w:val="both"/>
        <w:rPr>
          <w:sz w:val="24"/>
          <w:szCs w:val="24"/>
        </w:rPr>
      </w:pPr>
    </w:p>
    <w:p w14:paraId="2C68B42F" w14:textId="77777777" w:rsidR="007F2D5C" w:rsidRPr="007F2D5C" w:rsidRDefault="007F2D5C" w:rsidP="007F2D5C">
      <w:pPr>
        <w:tabs>
          <w:tab w:val="center" w:pos="2410"/>
          <w:tab w:val="center" w:pos="7371"/>
        </w:tabs>
        <w:spacing w:before="120"/>
        <w:jc w:val="right"/>
        <w:rPr>
          <w:sz w:val="24"/>
          <w:szCs w:val="24"/>
        </w:rPr>
      </w:pPr>
      <w:r w:rsidRPr="007F2D5C">
        <w:rPr>
          <w:sz w:val="24"/>
          <w:szCs w:val="24"/>
        </w:rPr>
        <w:tab/>
        <w:t>L’entrepreneur,</w:t>
      </w:r>
    </w:p>
    <w:p w14:paraId="47D540D2" w14:textId="77777777" w:rsidR="007F2D5C" w:rsidRPr="007F2D5C" w:rsidRDefault="007F2D5C" w:rsidP="007F2D5C">
      <w:pPr>
        <w:spacing w:line="349" w:lineRule="exact"/>
        <w:jc w:val="both"/>
        <w:rPr>
          <w:sz w:val="24"/>
          <w:szCs w:val="24"/>
        </w:rPr>
      </w:pPr>
    </w:p>
    <w:p w14:paraId="5B2498A5" w14:textId="77777777" w:rsidR="007F2D5C" w:rsidRDefault="007F2D5C" w:rsidP="007F2D5C"/>
    <w:p w14:paraId="2600E269" w14:textId="77777777" w:rsidR="007F2D5C" w:rsidRDefault="007F2D5C" w:rsidP="007F2D5C"/>
    <w:p w14:paraId="0AFAA246" w14:textId="77777777" w:rsidR="007F2D5C" w:rsidRDefault="007F2D5C" w:rsidP="007F2D5C"/>
    <w:p w14:paraId="4C301FE3" w14:textId="77777777" w:rsidR="007F2D5C" w:rsidRDefault="007F2D5C" w:rsidP="007F2D5C"/>
    <w:p w14:paraId="3539A0A6" w14:textId="77777777" w:rsidR="007F2D5C" w:rsidRDefault="007F2D5C" w:rsidP="007F2D5C"/>
    <w:p w14:paraId="7ED4DD70" w14:textId="77777777" w:rsidR="00597935" w:rsidRPr="00F458A0" w:rsidRDefault="00597935" w:rsidP="0087121D">
      <w:pPr>
        <w:spacing w:after="160" w:line="259" w:lineRule="auto"/>
        <w:jc w:val="right"/>
        <w:rPr>
          <w:rFonts w:eastAsia="Arial"/>
          <w:sz w:val="24"/>
          <w:szCs w:val="24"/>
        </w:rPr>
      </w:pPr>
    </w:p>
    <w:sectPr w:rsidR="00597935" w:rsidRPr="00F458A0" w:rsidSect="0059793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8" w:footer="5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28A427" w14:textId="77777777" w:rsidR="008A3832" w:rsidRDefault="008A3832" w:rsidP="004F6EE3">
      <w:r>
        <w:separator/>
      </w:r>
    </w:p>
  </w:endnote>
  <w:endnote w:type="continuationSeparator" w:id="0">
    <w:p w14:paraId="74C23D99" w14:textId="77777777" w:rsidR="008A3832" w:rsidRDefault="008A3832" w:rsidP="004F6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w:altName w:val="Bookman Old Style"/>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1F890" w14:textId="77777777" w:rsidR="0005659C" w:rsidRDefault="0005659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274328761"/>
      <w:docPartObj>
        <w:docPartGallery w:val="Page Numbers (Bottom of Page)"/>
        <w:docPartUnique/>
      </w:docPartObj>
    </w:sdtPr>
    <w:sdtEndPr/>
    <w:sdtContent>
      <w:sdt>
        <w:sdtPr>
          <w:rPr>
            <w:sz w:val="16"/>
            <w:szCs w:val="16"/>
          </w:rPr>
          <w:id w:val="-901988203"/>
          <w:docPartObj>
            <w:docPartGallery w:val="Page Numbers (Top of Page)"/>
            <w:docPartUnique/>
          </w:docPartObj>
        </w:sdtPr>
        <w:sdtEndPr/>
        <w:sdtContent>
          <w:p w14:paraId="1812984A" w14:textId="77777777" w:rsidR="0005659C" w:rsidRDefault="008A3832">
            <w:pPr>
              <w:pStyle w:val="Pieddepage"/>
              <w:jc w:val="right"/>
              <w:rPr>
                <w:sz w:val="16"/>
                <w:szCs w:val="16"/>
              </w:rPr>
            </w:pPr>
            <w:r>
              <w:rPr>
                <w:sz w:val="16"/>
                <w:szCs w:val="16"/>
              </w:rPr>
              <w:pict w14:anchorId="5F188FFF">
                <v:rect id="_x0000_i1025" style="width:0;height:1.5pt" o:hralign="center" o:hrstd="t" o:hr="t" fillcolor="#a0a0a0" stroked="f"/>
              </w:pict>
            </w:r>
          </w:p>
          <w:p w14:paraId="1C690E93" w14:textId="77777777" w:rsidR="0005659C" w:rsidRPr="004F6EE3" w:rsidRDefault="0005659C">
            <w:pPr>
              <w:pStyle w:val="Pieddepage"/>
              <w:jc w:val="right"/>
              <w:rPr>
                <w:sz w:val="16"/>
                <w:szCs w:val="16"/>
              </w:rPr>
            </w:pPr>
            <w:r w:rsidRPr="004F6EE3">
              <w:rPr>
                <w:sz w:val="16"/>
                <w:szCs w:val="16"/>
              </w:rPr>
              <w:t xml:space="preserve">Page </w:t>
            </w:r>
            <w:r w:rsidRPr="004F6EE3">
              <w:rPr>
                <w:b/>
                <w:bCs/>
                <w:sz w:val="16"/>
                <w:szCs w:val="16"/>
              </w:rPr>
              <w:fldChar w:fldCharType="begin"/>
            </w:r>
            <w:r w:rsidRPr="004F6EE3">
              <w:rPr>
                <w:b/>
                <w:bCs/>
                <w:sz w:val="16"/>
                <w:szCs w:val="16"/>
              </w:rPr>
              <w:instrText>PAGE</w:instrText>
            </w:r>
            <w:r w:rsidRPr="004F6EE3">
              <w:rPr>
                <w:b/>
                <w:bCs/>
                <w:sz w:val="16"/>
                <w:szCs w:val="16"/>
              </w:rPr>
              <w:fldChar w:fldCharType="separate"/>
            </w:r>
            <w:r w:rsidR="00AD3CFA">
              <w:rPr>
                <w:b/>
                <w:bCs/>
                <w:noProof/>
                <w:sz w:val="16"/>
                <w:szCs w:val="16"/>
              </w:rPr>
              <w:t>4</w:t>
            </w:r>
            <w:r w:rsidRPr="004F6EE3">
              <w:rPr>
                <w:b/>
                <w:bCs/>
                <w:sz w:val="16"/>
                <w:szCs w:val="16"/>
              </w:rPr>
              <w:fldChar w:fldCharType="end"/>
            </w:r>
            <w:r w:rsidRPr="004F6EE3">
              <w:rPr>
                <w:sz w:val="16"/>
                <w:szCs w:val="16"/>
              </w:rPr>
              <w:t xml:space="preserve"> sur </w:t>
            </w:r>
            <w:r w:rsidRPr="004F6EE3">
              <w:rPr>
                <w:b/>
                <w:bCs/>
                <w:sz w:val="16"/>
                <w:szCs w:val="16"/>
              </w:rPr>
              <w:fldChar w:fldCharType="begin"/>
            </w:r>
            <w:r w:rsidRPr="004F6EE3">
              <w:rPr>
                <w:b/>
                <w:bCs/>
                <w:sz w:val="16"/>
                <w:szCs w:val="16"/>
              </w:rPr>
              <w:instrText>NUMPAGES</w:instrText>
            </w:r>
            <w:r w:rsidRPr="004F6EE3">
              <w:rPr>
                <w:b/>
                <w:bCs/>
                <w:sz w:val="16"/>
                <w:szCs w:val="16"/>
              </w:rPr>
              <w:fldChar w:fldCharType="separate"/>
            </w:r>
            <w:r w:rsidR="00AD3CFA">
              <w:rPr>
                <w:b/>
                <w:bCs/>
                <w:noProof/>
                <w:sz w:val="16"/>
                <w:szCs w:val="16"/>
              </w:rPr>
              <w:t>4</w:t>
            </w:r>
            <w:r w:rsidRPr="004F6EE3">
              <w:rPr>
                <w:b/>
                <w:bCs/>
                <w:sz w:val="16"/>
                <w:szCs w:val="16"/>
              </w:rPr>
              <w:fldChar w:fldCharType="end"/>
            </w:r>
          </w:p>
        </w:sdtContent>
      </w:sdt>
    </w:sdtContent>
  </w:sdt>
  <w:p w14:paraId="0560E004" w14:textId="77777777" w:rsidR="0005659C" w:rsidRPr="004F6EE3" w:rsidRDefault="0005659C" w:rsidP="007F2D5C">
    <w:pPr>
      <w:pStyle w:val="Pieddepage"/>
      <w:numPr>
        <w:ilvl w:val="0"/>
        <w:numId w:val="4"/>
      </w:numPr>
      <w:rPr>
        <w:sz w:val="16"/>
        <w:szCs w:val="16"/>
      </w:rPr>
    </w:pPr>
    <w:r w:rsidRPr="004F6EE3">
      <w:rPr>
        <w:sz w:val="16"/>
        <w:szCs w:val="16"/>
      </w:rPr>
      <w:t>A compléter</w:t>
    </w:r>
  </w:p>
  <w:p w14:paraId="707EBF49" w14:textId="77777777" w:rsidR="0005659C" w:rsidRPr="004F6EE3" w:rsidRDefault="0005659C" w:rsidP="007F2D5C">
    <w:pPr>
      <w:pStyle w:val="Pieddepage"/>
      <w:numPr>
        <w:ilvl w:val="0"/>
        <w:numId w:val="4"/>
      </w:numPr>
      <w:rPr>
        <w:sz w:val="16"/>
        <w:szCs w:val="16"/>
      </w:rPr>
    </w:pPr>
    <w:r w:rsidRPr="004F6EE3">
      <w:rPr>
        <w:sz w:val="16"/>
        <w:szCs w:val="16"/>
      </w:rPr>
      <w:t>Rayer la mention inutile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7C64D" w14:textId="77777777" w:rsidR="0005659C" w:rsidRDefault="000565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246573" w14:textId="77777777" w:rsidR="008A3832" w:rsidRDefault="008A3832" w:rsidP="004F6EE3">
      <w:r>
        <w:separator/>
      </w:r>
    </w:p>
  </w:footnote>
  <w:footnote w:type="continuationSeparator" w:id="0">
    <w:p w14:paraId="4FF89CB8" w14:textId="77777777" w:rsidR="008A3832" w:rsidRDefault="008A3832" w:rsidP="004F6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CD566" w14:textId="77777777" w:rsidR="0005659C" w:rsidRDefault="0005659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9205A" w14:textId="77777777" w:rsidR="0005659C" w:rsidRDefault="0005659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EB6107" w14:textId="77777777" w:rsidR="0005659C" w:rsidRDefault="0005659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55E3F"/>
    <w:multiLevelType w:val="hybridMultilevel"/>
    <w:tmpl w:val="D86AF4DA"/>
    <w:lvl w:ilvl="0" w:tplc="3BCC842E">
      <w:start w:val="1"/>
      <w:numFmt w:val="bullet"/>
      <w:lvlText w:val="-"/>
      <w:lvlJc w:val="left"/>
      <w:pPr>
        <w:ind w:left="1146" w:hanging="360"/>
      </w:pPr>
      <w:rPr>
        <w:rFonts w:ascii="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012529D8"/>
    <w:multiLevelType w:val="hybridMultilevel"/>
    <w:tmpl w:val="EC7E28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DB7AE8"/>
    <w:multiLevelType w:val="hybridMultilevel"/>
    <w:tmpl w:val="C0AE736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C662EA"/>
    <w:multiLevelType w:val="hybridMultilevel"/>
    <w:tmpl w:val="AF4C7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95767A"/>
    <w:multiLevelType w:val="hybridMultilevel"/>
    <w:tmpl w:val="D6727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936D63"/>
    <w:multiLevelType w:val="multilevel"/>
    <w:tmpl w:val="10644CD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5F6666C"/>
    <w:multiLevelType w:val="hybridMultilevel"/>
    <w:tmpl w:val="04E03D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4336D9"/>
    <w:multiLevelType w:val="hybridMultilevel"/>
    <w:tmpl w:val="C66499C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43B957E1"/>
    <w:multiLevelType w:val="multilevel"/>
    <w:tmpl w:val="5B66EC6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67D6DA6"/>
    <w:multiLevelType w:val="multilevel"/>
    <w:tmpl w:val="10644CD6"/>
    <w:lvl w:ilvl="0">
      <w:start w:val="1"/>
      <w:numFmt w:val="decimal"/>
      <w:lvlText w:val="%1."/>
      <w:lvlJc w:val="left"/>
      <w:pPr>
        <w:ind w:left="720" w:hanging="360"/>
      </w:pPr>
    </w:lvl>
    <w:lvl w:ilvl="1">
      <w:start w:val="1"/>
      <w:numFmt w:val="decimal"/>
      <w:isLgl/>
      <w:lvlText w:val="%1.%2."/>
      <w:lvlJc w:val="left"/>
      <w:pPr>
        <w:ind w:left="787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A5149DD"/>
    <w:multiLevelType w:val="hybridMultilevel"/>
    <w:tmpl w:val="ACF827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E62A1A"/>
    <w:multiLevelType w:val="hybridMultilevel"/>
    <w:tmpl w:val="DBD88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5B5085"/>
    <w:multiLevelType w:val="hybridMultilevel"/>
    <w:tmpl w:val="7FCEA3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AB772E"/>
    <w:multiLevelType w:val="hybridMultilevel"/>
    <w:tmpl w:val="A49803A4"/>
    <w:lvl w:ilvl="0" w:tplc="040C0001">
      <w:start w:val="1"/>
      <w:numFmt w:val="bullet"/>
      <w:lvlText w:val=""/>
      <w:lvlJc w:val="left"/>
      <w:pPr>
        <w:ind w:left="720" w:hanging="360"/>
      </w:pPr>
      <w:rPr>
        <w:rFonts w:ascii="Symbol" w:hAnsi="Symbol" w:hint="default"/>
      </w:rPr>
    </w:lvl>
    <w:lvl w:ilvl="1" w:tplc="23805E5C">
      <w:start w:val="1"/>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E15FAD"/>
    <w:multiLevelType w:val="hybridMultilevel"/>
    <w:tmpl w:val="6ABAC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579248A"/>
    <w:multiLevelType w:val="hybridMultilevel"/>
    <w:tmpl w:val="FB2A1110"/>
    <w:lvl w:ilvl="0" w:tplc="23805E5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194300"/>
    <w:multiLevelType w:val="hybridMultilevel"/>
    <w:tmpl w:val="02A61236"/>
    <w:lvl w:ilvl="0" w:tplc="21647DD4">
      <w:start w:val="1"/>
      <w:numFmt w:val="decimal"/>
      <w:lvlText w:val="(%1)"/>
      <w:lvlJc w:val="left"/>
      <w:pPr>
        <w:ind w:left="644" w:hanging="360"/>
      </w:pPr>
      <w:rPr>
        <w:rFonts w:hint="default"/>
        <w:vertAlign w:val="superscrip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9325E35"/>
    <w:multiLevelType w:val="hybridMultilevel"/>
    <w:tmpl w:val="D0F87840"/>
    <w:lvl w:ilvl="0" w:tplc="040C0003">
      <w:start w:val="1"/>
      <w:numFmt w:val="bullet"/>
      <w:lvlText w:val="o"/>
      <w:lvlJc w:val="left"/>
      <w:pPr>
        <w:ind w:left="720" w:hanging="360"/>
      </w:pPr>
      <w:rPr>
        <w:rFonts w:ascii="Courier New" w:hAnsi="Courier New" w:cs="Courier New"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B68079A"/>
    <w:multiLevelType w:val="hybridMultilevel"/>
    <w:tmpl w:val="20EC6E54"/>
    <w:lvl w:ilvl="0" w:tplc="FAF2CDF2">
      <w:start w:val="1"/>
      <w:numFmt w:val="bullet"/>
      <w:lvlText w:val="-"/>
      <w:lvlJc w:val="left"/>
    </w:lvl>
    <w:lvl w:ilvl="1" w:tplc="53F68970">
      <w:numFmt w:val="decimal"/>
      <w:lvlText w:val=""/>
      <w:lvlJc w:val="left"/>
    </w:lvl>
    <w:lvl w:ilvl="2" w:tplc="33D4C3D8">
      <w:numFmt w:val="decimal"/>
      <w:lvlText w:val=""/>
      <w:lvlJc w:val="left"/>
    </w:lvl>
    <w:lvl w:ilvl="3" w:tplc="AF7E03F6">
      <w:numFmt w:val="decimal"/>
      <w:lvlText w:val=""/>
      <w:lvlJc w:val="left"/>
    </w:lvl>
    <w:lvl w:ilvl="4" w:tplc="68424796">
      <w:numFmt w:val="decimal"/>
      <w:lvlText w:val=""/>
      <w:lvlJc w:val="left"/>
    </w:lvl>
    <w:lvl w:ilvl="5" w:tplc="D64CB23E">
      <w:numFmt w:val="decimal"/>
      <w:lvlText w:val=""/>
      <w:lvlJc w:val="left"/>
    </w:lvl>
    <w:lvl w:ilvl="6" w:tplc="6F569172">
      <w:numFmt w:val="decimal"/>
      <w:lvlText w:val=""/>
      <w:lvlJc w:val="left"/>
    </w:lvl>
    <w:lvl w:ilvl="7" w:tplc="63DEB0BE">
      <w:numFmt w:val="decimal"/>
      <w:lvlText w:val=""/>
      <w:lvlJc w:val="left"/>
    </w:lvl>
    <w:lvl w:ilvl="8" w:tplc="DC0A21A4">
      <w:numFmt w:val="decimal"/>
      <w:lvlText w:val=""/>
      <w:lvlJc w:val="left"/>
    </w:lvl>
  </w:abstractNum>
  <w:abstractNum w:abstractNumId="19" w15:restartNumberingAfterBreak="0">
    <w:nsid w:val="75DF4D2D"/>
    <w:multiLevelType w:val="hybridMultilevel"/>
    <w:tmpl w:val="EA2E7F9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99167A"/>
    <w:multiLevelType w:val="hybridMultilevel"/>
    <w:tmpl w:val="157EF21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20"/>
  </w:num>
  <w:num w:numId="4">
    <w:abstractNumId w:val="16"/>
  </w:num>
  <w:num w:numId="5">
    <w:abstractNumId w:val="13"/>
  </w:num>
  <w:num w:numId="6">
    <w:abstractNumId w:val="15"/>
  </w:num>
  <w:num w:numId="7">
    <w:abstractNumId w:val="9"/>
  </w:num>
  <w:num w:numId="8">
    <w:abstractNumId w:val="17"/>
  </w:num>
  <w:num w:numId="9">
    <w:abstractNumId w:val="0"/>
  </w:num>
  <w:num w:numId="10">
    <w:abstractNumId w:val="2"/>
  </w:num>
  <w:num w:numId="11">
    <w:abstractNumId w:val="5"/>
  </w:num>
  <w:num w:numId="12">
    <w:abstractNumId w:val="19"/>
  </w:num>
  <w:num w:numId="13">
    <w:abstractNumId w:val="3"/>
  </w:num>
  <w:num w:numId="14">
    <w:abstractNumId w:val="7"/>
  </w:num>
  <w:num w:numId="15">
    <w:abstractNumId w:val="6"/>
  </w:num>
  <w:num w:numId="16">
    <w:abstractNumId w:val="14"/>
  </w:num>
  <w:num w:numId="17">
    <w:abstractNumId w:val="10"/>
  </w:num>
  <w:num w:numId="18">
    <w:abstractNumId w:val="4"/>
  </w:num>
  <w:num w:numId="19">
    <w:abstractNumId w:val="11"/>
  </w:num>
  <w:num w:numId="20">
    <w:abstractNumId w:val="1"/>
  </w:num>
  <w:num w:numId="21">
    <w:abstractNumId w:val="12"/>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anielle.seow">
    <w15:presenceInfo w15:providerId="AD" w15:userId="S-1-5-21-766347037-2602730468-1063933424-33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458A0"/>
    <w:rsid w:val="00013613"/>
    <w:rsid w:val="00021468"/>
    <w:rsid w:val="00030390"/>
    <w:rsid w:val="00040B36"/>
    <w:rsid w:val="0005659C"/>
    <w:rsid w:val="00067A28"/>
    <w:rsid w:val="00081973"/>
    <w:rsid w:val="000C1A07"/>
    <w:rsid w:val="000D5760"/>
    <w:rsid w:val="000E6559"/>
    <w:rsid w:val="00106DF9"/>
    <w:rsid w:val="001179B7"/>
    <w:rsid w:val="00122308"/>
    <w:rsid w:val="00123EF9"/>
    <w:rsid w:val="00127F0A"/>
    <w:rsid w:val="00142CDD"/>
    <w:rsid w:val="00145100"/>
    <w:rsid w:val="00145AC5"/>
    <w:rsid w:val="00151E78"/>
    <w:rsid w:val="001544AE"/>
    <w:rsid w:val="0016334B"/>
    <w:rsid w:val="001717D3"/>
    <w:rsid w:val="001918C5"/>
    <w:rsid w:val="001B137D"/>
    <w:rsid w:val="001B3B60"/>
    <w:rsid w:val="001B4B8C"/>
    <w:rsid w:val="001C2554"/>
    <w:rsid w:val="001C4761"/>
    <w:rsid w:val="001D0DFC"/>
    <w:rsid w:val="001D6603"/>
    <w:rsid w:val="001E5C6B"/>
    <w:rsid w:val="001F778D"/>
    <w:rsid w:val="0020581F"/>
    <w:rsid w:val="00211EDD"/>
    <w:rsid w:val="00224DA4"/>
    <w:rsid w:val="00243B9E"/>
    <w:rsid w:val="00267528"/>
    <w:rsid w:val="00272C7B"/>
    <w:rsid w:val="0028624D"/>
    <w:rsid w:val="002864B1"/>
    <w:rsid w:val="00291663"/>
    <w:rsid w:val="002A1F51"/>
    <w:rsid w:val="002C22CA"/>
    <w:rsid w:val="002C425E"/>
    <w:rsid w:val="002C56A6"/>
    <w:rsid w:val="002D19B4"/>
    <w:rsid w:val="002D52D0"/>
    <w:rsid w:val="002D7A6C"/>
    <w:rsid w:val="00326D29"/>
    <w:rsid w:val="003322D3"/>
    <w:rsid w:val="00346830"/>
    <w:rsid w:val="00364EB2"/>
    <w:rsid w:val="003664B1"/>
    <w:rsid w:val="00375449"/>
    <w:rsid w:val="003764EF"/>
    <w:rsid w:val="00387C2B"/>
    <w:rsid w:val="00391C89"/>
    <w:rsid w:val="003944EE"/>
    <w:rsid w:val="003A3F40"/>
    <w:rsid w:val="003A5913"/>
    <w:rsid w:val="003B40A4"/>
    <w:rsid w:val="003D2E90"/>
    <w:rsid w:val="003E6B27"/>
    <w:rsid w:val="003E7356"/>
    <w:rsid w:val="0041192D"/>
    <w:rsid w:val="00412AE7"/>
    <w:rsid w:val="0041401E"/>
    <w:rsid w:val="00417AE1"/>
    <w:rsid w:val="0045615A"/>
    <w:rsid w:val="004917F8"/>
    <w:rsid w:val="004967C9"/>
    <w:rsid w:val="004A109E"/>
    <w:rsid w:val="004C2C6B"/>
    <w:rsid w:val="004E60DE"/>
    <w:rsid w:val="004F3BA2"/>
    <w:rsid w:val="004F47DF"/>
    <w:rsid w:val="004F6EE3"/>
    <w:rsid w:val="0052378A"/>
    <w:rsid w:val="0052518A"/>
    <w:rsid w:val="00545FA5"/>
    <w:rsid w:val="0055340E"/>
    <w:rsid w:val="0057206A"/>
    <w:rsid w:val="00580E4C"/>
    <w:rsid w:val="00597935"/>
    <w:rsid w:val="005A1E28"/>
    <w:rsid w:val="005B2554"/>
    <w:rsid w:val="005C1D2C"/>
    <w:rsid w:val="005D2E5F"/>
    <w:rsid w:val="005E4AC9"/>
    <w:rsid w:val="005E6026"/>
    <w:rsid w:val="005F2856"/>
    <w:rsid w:val="005F70A6"/>
    <w:rsid w:val="006071F0"/>
    <w:rsid w:val="006076BA"/>
    <w:rsid w:val="006162DA"/>
    <w:rsid w:val="00621CE7"/>
    <w:rsid w:val="00625625"/>
    <w:rsid w:val="0066046B"/>
    <w:rsid w:val="00667FFC"/>
    <w:rsid w:val="006845AA"/>
    <w:rsid w:val="00692399"/>
    <w:rsid w:val="00695E8E"/>
    <w:rsid w:val="00696DAA"/>
    <w:rsid w:val="006A7B29"/>
    <w:rsid w:val="006C42B2"/>
    <w:rsid w:val="006D222D"/>
    <w:rsid w:val="006E2D4A"/>
    <w:rsid w:val="006F305E"/>
    <w:rsid w:val="0071578E"/>
    <w:rsid w:val="00740650"/>
    <w:rsid w:val="0074343C"/>
    <w:rsid w:val="007522CF"/>
    <w:rsid w:val="00754897"/>
    <w:rsid w:val="00762A5B"/>
    <w:rsid w:val="00783142"/>
    <w:rsid w:val="007A22A6"/>
    <w:rsid w:val="007A3F7B"/>
    <w:rsid w:val="007B1487"/>
    <w:rsid w:val="007B381D"/>
    <w:rsid w:val="007E0867"/>
    <w:rsid w:val="007F2D5C"/>
    <w:rsid w:val="007F5F95"/>
    <w:rsid w:val="00814212"/>
    <w:rsid w:val="008253C4"/>
    <w:rsid w:val="00852F03"/>
    <w:rsid w:val="00857BB5"/>
    <w:rsid w:val="008668FE"/>
    <w:rsid w:val="0087121D"/>
    <w:rsid w:val="00885B7E"/>
    <w:rsid w:val="00895FDE"/>
    <w:rsid w:val="008A01FC"/>
    <w:rsid w:val="008A2D15"/>
    <w:rsid w:val="008A3832"/>
    <w:rsid w:val="008B382A"/>
    <w:rsid w:val="008B588F"/>
    <w:rsid w:val="008C250D"/>
    <w:rsid w:val="008D2829"/>
    <w:rsid w:val="008D7741"/>
    <w:rsid w:val="008E64B3"/>
    <w:rsid w:val="008F0E58"/>
    <w:rsid w:val="008F5B39"/>
    <w:rsid w:val="009135E3"/>
    <w:rsid w:val="00917E73"/>
    <w:rsid w:val="0093458E"/>
    <w:rsid w:val="00943305"/>
    <w:rsid w:val="009533E8"/>
    <w:rsid w:val="0095578D"/>
    <w:rsid w:val="00966699"/>
    <w:rsid w:val="009757C1"/>
    <w:rsid w:val="00977CBB"/>
    <w:rsid w:val="0098273D"/>
    <w:rsid w:val="009C0469"/>
    <w:rsid w:val="009D5CD9"/>
    <w:rsid w:val="009D6B4B"/>
    <w:rsid w:val="009D6D94"/>
    <w:rsid w:val="009D6DCD"/>
    <w:rsid w:val="009E4187"/>
    <w:rsid w:val="009E455E"/>
    <w:rsid w:val="009E5989"/>
    <w:rsid w:val="00A03E3D"/>
    <w:rsid w:val="00A15CDE"/>
    <w:rsid w:val="00A275DC"/>
    <w:rsid w:val="00A27694"/>
    <w:rsid w:val="00A32E9D"/>
    <w:rsid w:val="00A339A0"/>
    <w:rsid w:val="00A4298D"/>
    <w:rsid w:val="00A44B54"/>
    <w:rsid w:val="00A45A34"/>
    <w:rsid w:val="00A52B00"/>
    <w:rsid w:val="00A54CAE"/>
    <w:rsid w:val="00A71D10"/>
    <w:rsid w:val="00A72096"/>
    <w:rsid w:val="00A96380"/>
    <w:rsid w:val="00AA099B"/>
    <w:rsid w:val="00AA1A4D"/>
    <w:rsid w:val="00AD3CFA"/>
    <w:rsid w:val="00AD4C34"/>
    <w:rsid w:val="00AE60B4"/>
    <w:rsid w:val="00AE6A42"/>
    <w:rsid w:val="00B227BB"/>
    <w:rsid w:val="00B2508E"/>
    <w:rsid w:val="00B33AE3"/>
    <w:rsid w:val="00B43D69"/>
    <w:rsid w:val="00B545F3"/>
    <w:rsid w:val="00B67E55"/>
    <w:rsid w:val="00B80911"/>
    <w:rsid w:val="00B85DB4"/>
    <w:rsid w:val="00B87D61"/>
    <w:rsid w:val="00B939B1"/>
    <w:rsid w:val="00B9468D"/>
    <w:rsid w:val="00B96D14"/>
    <w:rsid w:val="00BB18EC"/>
    <w:rsid w:val="00BB2DD5"/>
    <w:rsid w:val="00BD06E9"/>
    <w:rsid w:val="00BF21F5"/>
    <w:rsid w:val="00C155DD"/>
    <w:rsid w:val="00C23191"/>
    <w:rsid w:val="00C27B13"/>
    <w:rsid w:val="00C320AB"/>
    <w:rsid w:val="00C52164"/>
    <w:rsid w:val="00C63F4B"/>
    <w:rsid w:val="00C67711"/>
    <w:rsid w:val="00CD21BF"/>
    <w:rsid w:val="00CD3F44"/>
    <w:rsid w:val="00CD695C"/>
    <w:rsid w:val="00CE099B"/>
    <w:rsid w:val="00CE2703"/>
    <w:rsid w:val="00CF220A"/>
    <w:rsid w:val="00D019B3"/>
    <w:rsid w:val="00D03E78"/>
    <w:rsid w:val="00D06C0D"/>
    <w:rsid w:val="00D4078D"/>
    <w:rsid w:val="00D45AB6"/>
    <w:rsid w:val="00D53309"/>
    <w:rsid w:val="00D56BCF"/>
    <w:rsid w:val="00D76ECE"/>
    <w:rsid w:val="00D82143"/>
    <w:rsid w:val="00D844DF"/>
    <w:rsid w:val="00D8458E"/>
    <w:rsid w:val="00DA006F"/>
    <w:rsid w:val="00DA19F3"/>
    <w:rsid w:val="00DB3747"/>
    <w:rsid w:val="00DD4BAE"/>
    <w:rsid w:val="00DE7024"/>
    <w:rsid w:val="00DF75BA"/>
    <w:rsid w:val="00E21778"/>
    <w:rsid w:val="00E239D9"/>
    <w:rsid w:val="00E33709"/>
    <w:rsid w:val="00E34B2E"/>
    <w:rsid w:val="00E354E0"/>
    <w:rsid w:val="00E37CEF"/>
    <w:rsid w:val="00E431E0"/>
    <w:rsid w:val="00E50EC1"/>
    <w:rsid w:val="00E65920"/>
    <w:rsid w:val="00E74415"/>
    <w:rsid w:val="00E8568B"/>
    <w:rsid w:val="00E90290"/>
    <w:rsid w:val="00E92BFC"/>
    <w:rsid w:val="00EB3A6B"/>
    <w:rsid w:val="00EC19D1"/>
    <w:rsid w:val="00EC33AA"/>
    <w:rsid w:val="00ED78E0"/>
    <w:rsid w:val="00F00212"/>
    <w:rsid w:val="00F14944"/>
    <w:rsid w:val="00F14B0F"/>
    <w:rsid w:val="00F24C35"/>
    <w:rsid w:val="00F44506"/>
    <w:rsid w:val="00F458A0"/>
    <w:rsid w:val="00F467BF"/>
    <w:rsid w:val="00F502B2"/>
    <w:rsid w:val="00F7028B"/>
    <w:rsid w:val="00F7397A"/>
    <w:rsid w:val="00F91817"/>
    <w:rsid w:val="00FA0218"/>
    <w:rsid w:val="00FA1D4C"/>
    <w:rsid w:val="00FA5155"/>
    <w:rsid w:val="00FB0DC6"/>
    <w:rsid w:val="00FC053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A724A"/>
  <w15:docId w15:val="{D25FC068-82FA-4A0F-B751-88B160EF4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8A0"/>
    <w:pPr>
      <w:spacing w:after="0" w:line="240" w:lineRule="auto"/>
    </w:pPr>
    <w:rPr>
      <w:rFonts w:ascii="Times New Roman" w:eastAsiaTheme="minorEastAsia" w:hAnsi="Times New Roman" w:cs="Times New Roman"/>
      <w:lang w:eastAsia="fr-FR"/>
    </w:rPr>
  </w:style>
  <w:style w:type="paragraph" w:styleId="Titre1">
    <w:name w:val="heading 1"/>
    <w:basedOn w:val="Normal"/>
    <w:next w:val="Normal"/>
    <w:link w:val="Titre1Car"/>
    <w:uiPriority w:val="9"/>
    <w:qFormat/>
    <w:rsid w:val="00F458A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7F2D5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C27B1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8">
    <w:name w:val="heading 8"/>
    <w:basedOn w:val="Normal"/>
    <w:next w:val="Normal"/>
    <w:link w:val="Titre8Car"/>
    <w:uiPriority w:val="9"/>
    <w:semiHidden/>
    <w:unhideWhenUsed/>
    <w:qFormat/>
    <w:rsid w:val="00C27B1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72"/>
    <w:qFormat/>
    <w:rsid w:val="00F458A0"/>
    <w:pPr>
      <w:ind w:left="720"/>
      <w:contextualSpacing/>
    </w:pPr>
  </w:style>
  <w:style w:type="character" w:customStyle="1" w:styleId="Titre1Car">
    <w:name w:val="Titre 1 Car"/>
    <w:basedOn w:val="Policepardfaut"/>
    <w:link w:val="Titre1"/>
    <w:uiPriority w:val="9"/>
    <w:rsid w:val="00F458A0"/>
    <w:rPr>
      <w:rFonts w:asciiTheme="majorHAnsi" w:eastAsiaTheme="majorEastAsia" w:hAnsiTheme="majorHAnsi" w:cstheme="majorBidi"/>
      <w:color w:val="2E74B5" w:themeColor="accent1" w:themeShade="BF"/>
      <w:sz w:val="32"/>
      <w:szCs w:val="32"/>
      <w:lang w:eastAsia="fr-FR"/>
    </w:rPr>
  </w:style>
  <w:style w:type="paragraph" w:customStyle="1" w:styleId="Listecouleur-Accent11">
    <w:name w:val="Liste couleur - Accent 11"/>
    <w:basedOn w:val="Normal"/>
    <w:uiPriority w:val="34"/>
    <w:qFormat/>
    <w:rsid w:val="00224DA4"/>
    <w:pPr>
      <w:spacing w:after="200"/>
      <w:ind w:left="720"/>
      <w:contextualSpacing/>
    </w:pPr>
    <w:rPr>
      <w:rFonts w:ascii="Cambria" w:eastAsia="MS Mincho" w:hAnsi="Cambria"/>
      <w:sz w:val="24"/>
      <w:szCs w:val="24"/>
      <w:lang w:eastAsia="ja-JP"/>
    </w:rPr>
  </w:style>
  <w:style w:type="character" w:styleId="Lienhypertexte">
    <w:name w:val="Hyperlink"/>
    <w:basedOn w:val="Policepardfaut"/>
    <w:uiPriority w:val="99"/>
    <w:unhideWhenUsed/>
    <w:rsid w:val="00224DA4"/>
    <w:rPr>
      <w:color w:val="0563C1" w:themeColor="hyperlink"/>
      <w:u w:val="single"/>
    </w:rPr>
  </w:style>
  <w:style w:type="paragraph" w:styleId="Retraitcorpsdetexte">
    <w:name w:val="Body Text Indent"/>
    <w:basedOn w:val="Normal"/>
    <w:link w:val="RetraitcorpsdetexteCar"/>
    <w:uiPriority w:val="99"/>
    <w:semiHidden/>
    <w:rsid w:val="00D76ECE"/>
    <w:pPr>
      <w:tabs>
        <w:tab w:val="left" w:pos="1418"/>
        <w:tab w:val="left" w:pos="1701"/>
      </w:tabs>
      <w:ind w:left="1134"/>
      <w:jc w:val="both"/>
    </w:pPr>
    <w:rPr>
      <w:rFonts w:ascii="Bookman" w:eastAsia="Times New Roman" w:hAnsi="Bookman"/>
      <w:sz w:val="24"/>
      <w:szCs w:val="20"/>
    </w:rPr>
  </w:style>
  <w:style w:type="character" w:customStyle="1" w:styleId="RetraitcorpsdetexteCar">
    <w:name w:val="Retrait corps de texte Car"/>
    <w:basedOn w:val="Policepardfaut"/>
    <w:link w:val="Retraitcorpsdetexte"/>
    <w:uiPriority w:val="99"/>
    <w:semiHidden/>
    <w:rsid w:val="00D76ECE"/>
    <w:rPr>
      <w:rFonts w:ascii="Bookman" w:eastAsia="Times New Roman" w:hAnsi="Bookman" w:cs="Times New Roman"/>
      <w:sz w:val="24"/>
      <w:szCs w:val="20"/>
      <w:lang w:eastAsia="fr-FR"/>
    </w:rPr>
  </w:style>
  <w:style w:type="table" w:styleId="Grilledutableau">
    <w:name w:val="Table Grid"/>
    <w:basedOn w:val="TableauNormal"/>
    <w:uiPriority w:val="59"/>
    <w:rsid w:val="0066046B"/>
    <w:pPr>
      <w:spacing w:after="0" w:line="240" w:lineRule="auto"/>
    </w:pPr>
    <w:rPr>
      <w:rFonts w:eastAsiaTheme="minorEastAsia"/>
      <w:sz w:val="24"/>
      <w:szCs w:val="24"/>
      <w:lang w:eastAsia="ja-JP"/>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rpsdetexte">
    <w:name w:val="Body Text"/>
    <w:basedOn w:val="Normal"/>
    <w:link w:val="CorpsdetexteCar"/>
    <w:uiPriority w:val="99"/>
    <w:semiHidden/>
    <w:unhideWhenUsed/>
    <w:rsid w:val="00E90290"/>
    <w:pPr>
      <w:spacing w:after="120"/>
    </w:pPr>
  </w:style>
  <w:style w:type="character" w:customStyle="1" w:styleId="CorpsdetexteCar">
    <w:name w:val="Corps de texte Car"/>
    <w:basedOn w:val="Policepardfaut"/>
    <w:link w:val="Corpsdetexte"/>
    <w:uiPriority w:val="99"/>
    <w:semiHidden/>
    <w:rsid w:val="00E90290"/>
    <w:rPr>
      <w:rFonts w:ascii="Times New Roman" w:eastAsiaTheme="minorEastAsia" w:hAnsi="Times New Roman" w:cs="Times New Roman"/>
      <w:lang w:eastAsia="fr-FR"/>
    </w:rPr>
  </w:style>
  <w:style w:type="paragraph" w:styleId="En-tte">
    <w:name w:val="header"/>
    <w:basedOn w:val="Normal"/>
    <w:link w:val="En-tteCar"/>
    <w:uiPriority w:val="99"/>
    <w:unhideWhenUsed/>
    <w:rsid w:val="004F6EE3"/>
    <w:pPr>
      <w:tabs>
        <w:tab w:val="center" w:pos="4536"/>
        <w:tab w:val="right" w:pos="9072"/>
      </w:tabs>
    </w:pPr>
  </w:style>
  <w:style w:type="character" w:customStyle="1" w:styleId="En-tteCar">
    <w:name w:val="En-tête Car"/>
    <w:basedOn w:val="Policepardfaut"/>
    <w:link w:val="En-tte"/>
    <w:uiPriority w:val="99"/>
    <w:rsid w:val="004F6EE3"/>
    <w:rPr>
      <w:rFonts w:ascii="Times New Roman" w:eastAsiaTheme="minorEastAsia" w:hAnsi="Times New Roman" w:cs="Times New Roman"/>
      <w:lang w:eastAsia="fr-FR"/>
    </w:rPr>
  </w:style>
  <w:style w:type="paragraph" w:styleId="Pieddepage">
    <w:name w:val="footer"/>
    <w:basedOn w:val="Normal"/>
    <w:link w:val="PieddepageCar"/>
    <w:uiPriority w:val="99"/>
    <w:unhideWhenUsed/>
    <w:rsid w:val="004F6EE3"/>
    <w:pPr>
      <w:tabs>
        <w:tab w:val="center" w:pos="4536"/>
        <w:tab w:val="right" w:pos="9072"/>
      </w:tabs>
    </w:pPr>
  </w:style>
  <w:style w:type="character" w:customStyle="1" w:styleId="PieddepageCar">
    <w:name w:val="Pied de page Car"/>
    <w:basedOn w:val="Policepardfaut"/>
    <w:link w:val="Pieddepage"/>
    <w:uiPriority w:val="99"/>
    <w:rsid w:val="004F6EE3"/>
    <w:rPr>
      <w:rFonts w:ascii="Times New Roman" w:eastAsiaTheme="minorEastAsia" w:hAnsi="Times New Roman" w:cs="Times New Roman"/>
      <w:lang w:eastAsia="fr-FR"/>
    </w:rPr>
  </w:style>
  <w:style w:type="paragraph" w:styleId="NormalWeb">
    <w:name w:val="Normal (Web)"/>
    <w:basedOn w:val="Normal"/>
    <w:uiPriority w:val="99"/>
    <w:unhideWhenUsed/>
    <w:rsid w:val="00754897"/>
    <w:pPr>
      <w:spacing w:before="100" w:beforeAutospacing="1" w:after="100" w:afterAutospacing="1"/>
    </w:pPr>
    <w:rPr>
      <w:rFonts w:eastAsia="Times New Roman"/>
      <w:sz w:val="24"/>
      <w:szCs w:val="24"/>
    </w:rPr>
  </w:style>
  <w:style w:type="character" w:customStyle="1" w:styleId="Titre3Car">
    <w:name w:val="Titre 3 Car"/>
    <w:basedOn w:val="Policepardfaut"/>
    <w:link w:val="Titre3"/>
    <w:uiPriority w:val="9"/>
    <w:semiHidden/>
    <w:rsid w:val="00C27B13"/>
    <w:rPr>
      <w:rFonts w:asciiTheme="majorHAnsi" w:eastAsiaTheme="majorEastAsia" w:hAnsiTheme="majorHAnsi" w:cstheme="majorBidi"/>
      <w:color w:val="1F4D78" w:themeColor="accent1" w:themeShade="7F"/>
      <w:sz w:val="24"/>
      <w:szCs w:val="24"/>
      <w:lang w:eastAsia="fr-FR"/>
    </w:rPr>
  </w:style>
  <w:style w:type="character" w:customStyle="1" w:styleId="Titre8Car">
    <w:name w:val="Titre 8 Car"/>
    <w:basedOn w:val="Policepardfaut"/>
    <w:link w:val="Titre8"/>
    <w:uiPriority w:val="9"/>
    <w:semiHidden/>
    <w:rsid w:val="00C27B13"/>
    <w:rPr>
      <w:rFonts w:asciiTheme="majorHAnsi" w:eastAsiaTheme="majorEastAsia" w:hAnsiTheme="majorHAnsi" w:cstheme="majorBidi"/>
      <w:color w:val="272727" w:themeColor="text1" w:themeTint="D8"/>
      <w:sz w:val="21"/>
      <w:szCs w:val="21"/>
      <w:lang w:eastAsia="fr-FR"/>
    </w:rPr>
  </w:style>
  <w:style w:type="character" w:customStyle="1" w:styleId="Titre2Car">
    <w:name w:val="Titre 2 Car"/>
    <w:basedOn w:val="Policepardfaut"/>
    <w:link w:val="Titre2"/>
    <w:uiPriority w:val="9"/>
    <w:semiHidden/>
    <w:rsid w:val="007F2D5C"/>
    <w:rPr>
      <w:rFonts w:asciiTheme="majorHAnsi" w:eastAsiaTheme="majorEastAsia" w:hAnsiTheme="majorHAnsi" w:cstheme="majorBidi"/>
      <w:color w:val="2E74B5" w:themeColor="accent1" w:themeShade="BF"/>
      <w:sz w:val="26"/>
      <w:szCs w:val="26"/>
      <w:lang w:eastAsia="fr-FR"/>
    </w:rPr>
  </w:style>
  <w:style w:type="paragraph" w:styleId="Retraitcorpsdetexte3">
    <w:name w:val="Body Text Indent 3"/>
    <w:basedOn w:val="Normal"/>
    <w:link w:val="Retraitcorpsdetexte3Car"/>
    <w:uiPriority w:val="99"/>
    <w:semiHidden/>
    <w:unhideWhenUsed/>
    <w:rsid w:val="007F2D5C"/>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F2D5C"/>
    <w:rPr>
      <w:rFonts w:ascii="Times New Roman" w:eastAsiaTheme="minorEastAsia" w:hAnsi="Times New Roman" w:cs="Times New Roman"/>
      <w:sz w:val="16"/>
      <w:szCs w:val="16"/>
      <w:lang w:eastAsia="fr-FR"/>
    </w:rPr>
  </w:style>
  <w:style w:type="character" w:styleId="Lienhypertextesuivivisit">
    <w:name w:val="FollowedHyperlink"/>
    <w:basedOn w:val="Policepardfaut"/>
    <w:uiPriority w:val="99"/>
    <w:semiHidden/>
    <w:unhideWhenUsed/>
    <w:rsid w:val="007F2D5C"/>
    <w:rPr>
      <w:color w:val="954F72" w:themeColor="followedHyperlink"/>
      <w:u w:val="single"/>
    </w:rPr>
  </w:style>
  <w:style w:type="paragraph" w:styleId="TM1">
    <w:name w:val="toc 1"/>
    <w:basedOn w:val="Normal"/>
    <w:next w:val="Normal"/>
    <w:autoRedefine/>
    <w:uiPriority w:val="39"/>
    <w:semiHidden/>
    <w:unhideWhenUsed/>
    <w:rsid w:val="007F2D5C"/>
    <w:pPr>
      <w:spacing w:after="100"/>
    </w:pPr>
    <w:rPr>
      <w:rFonts w:eastAsia="Times New Roman"/>
      <w:sz w:val="24"/>
      <w:szCs w:val="24"/>
    </w:rPr>
  </w:style>
  <w:style w:type="paragraph" w:styleId="TM2">
    <w:name w:val="toc 2"/>
    <w:basedOn w:val="Normal"/>
    <w:next w:val="Normal"/>
    <w:autoRedefine/>
    <w:uiPriority w:val="39"/>
    <w:semiHidden/>
    <w:unhideWhenUsed/>
    <w:rsid w:val="007F2D5C"/>
    <w:pPr>
      <w:spacing w:after="100"/>
      <w:ind w:left="200"/>
    </w:pPr>
    <w:rPr>
      <w:rFonts w:eastAsia="Times New Roman"/>
      <w:sz w:val="24"/>
      <w:szCs w:val="24"/>
    </w:rPr>
  </w:style>
  <w:style w:type="paragraph" w:styleId="TM3">
    <w:name w:val="toc 3"/>
    <w:basedOn w:val="Normal"/>
    <w:next w:val="Normal"/>
    <w:autoRedefine/>
    <w:uiPriority w:val="39"/>
    <w:semiHidden/>
    <w:unhideWhenUsed/>
    <w:rsid w:val="007F2D5C"/>
    <w:pPr>
      <w:spacing w:after="100"/>
      <w:ind w:left="480"/>
    </w:pPr>
    <w:rPr>
      <w:rFonts w:eastAsia="Times New Roman"/>
      <w:sz w:val="24"/>
      <w:szCs w:val="24"/>
    </w:rPr>
  </w:style>
  <w:style w:type="paragraph" w:styleId="TM4">
    <w:name w:val="toc 4"/>
    <w:basedOn w:val="Normal"/>
    <w:next w:val="Normal"/>
    <w:autoRedefine/>
    <w:uiPriority w:val="39"/>
    <w:semiHidden/>
    <w:unhideWhenUsed/>
    <w:rsid w:val="007F2D5C"/>
    <w:pPr>
      <w:spacing w:after="100"/>
      <w:ind w:left="720"/>
    </w:pPr>
    <w:rPr>
      <w:rFonts w:asciiTheme="minorHAnsi" w:hAnsiTheme="minorHAnsi" w:cstheme="minorBidi"/>
      <w:sz w:val="24"/>
      <w:szCs w:val="24"/>
    </w:rPr>
  </w:style>
  <w:style w:type="paragraph" w:styleId="TM5">
    <w:name w:val="toc 5"/>
    <w:basedOn w:val="Normal"/>
    <w:next w:val="Normal"/>
    <w:autoRedefine/>
    <w:uiPriority w:val="39"/>
    <w:semiHidden/>
    <w:unhideWhenUsed/>
    <w:rsid w:val="007F2D5C"/>
    <w:pPr>
      <w:spacing w:after="100"/>
      <w:ind w:left="960"/>
    </w:pPr>
    <w:rPr>
      <w:rFonts w:asciiTheme="minorHAnsi" w:hAnsiTheme="minorHAnsi" w:cstheme="minorBidi"/>
      <w:sz w:val="24"/>
      <w:szCs w:val="24"/>
    </w:rPr>
  </w:style>
  <w:style w:type="paragraph" w:styleId="TM6">
    <w:name w:val="toc 6"/>
    <w:basedOn w:val="Normal"/>
    <w:next w:val="Normal"/>
    <w:autoRedefine/>
    <w:uiPriority w:val="39"/>
    <w:semiHidden/>
    <w:unhideWhenUsed/>
    <w:rsid w:val="007F2D5C"/>
    <w:pPr>
      <w:spacing w:after="100"/>
      <w:ind w:left="1200"/>
    </w:pPr>
    <w:rPr>
      <w:rFonts w:asciiTheme="minorHAnsi" w:hAnsiTheme="minorHAnsi" w:cstheme="minorBidi"/>
      <w:sz w:val="24"/>
      <w:szCs w:val="24"/>
    </w:rPr>
  </w:style>
  <w:style w:type="paragraph" w:styleId="TM7">
    <w:name w:val="toc 7"/>
    <w:basedOn w:val="Normal"/>
    <w:next w:val="Normal"/>
    <w:autoRedefine/>
    <w:uiPriority w:val="39"/>
    <w:semiHidden/>
    <w:unhideWhenUsed/>
    <w:rsid w:val="007F2D5C"/>
    <w:pPr>
      <w:spacing w:after="100"/>
      <w:ind w:left="1440"/>
    </w:pPr>
    <w:rPr>
      <w:rFonts w:asciiTheme="minorHAnsi" w:hAnsiTheme="minorHAnsi" w:cstheme="minorBidi"/>
      <w:sz w:val="24"/>
      <w:szCs w:val="24"/>
    </w:rPr>
  </w:style>
  <w:style w:type="paragraph" w:styleId="TM8">
    <w:name w:val="toc 8"/>
    <w:basedOn w:val="Normal"/>
    <w:next w:val="Normal"/>
    <w:autoRedefine/>
    <w:uiPriority w:val="39"/>
    <w:semiHidden/>
    <w:unhideWhenUsed/>
    <w:rsid w:val="007F2D5C"/>
    <w:pPr>
      <w:spacing w:after="100"/>
      <w:ind w:left="1680"/>
    </w:pPr>
    <w:rPr>
      <w:rFonts w:asciiTheme="minorHAnsi" w:hAnsiTheme="minorHAnsi" w:cstheme="minorBidi"/>
      <w:sz w:val="24"/>
      <w:szCs w:val="24"/>
    </w:rPr>
  </w:style>
  <w:style w:type="paragraph" w:styleId="TM9">
    <w:name w:val="toc 9"/>
    <w:basedOn w:val="Normal"/>
    <w:next w:val="Normal"/>
    <w:autoRedefine/>
    <w:uiPriority w:val="39"/>
    <w:semiHidden/>
    <w:unhideWhenUsed/>
    <w:rsid w:val="007F2D5C"/>
    <w:pPr>
      <w:spacing w:after="100"/>
      <w:ind w:left="1920"/>
    </w:pPr>
    <w:rPr>
      <w:rFonts w:asciiTheme="minorHAnsi" w:hAnsiTheme="minorHAnsi" w:cstheme="minorBidi"/>
      <w:sz w:val="24"/>
      <w:szCs w:val="24"/>
    </w:rPr>
  </w:style>
  <w:style w:type="paragraph" w:styleId="Titre">
    <w:name w:val="Title"/>
    <w:basedOn w:val="Normal"/>
    <w:link w:val="TitreCar"/>
    <w:uiPriority w:val="99"/>
    <w:qFormat/>
    <w:rsid w:val="007F2D5C"/>
    <w:pPr>
      <w:tabs>
        <w:tab w:val="left" w:pos="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pPr>
    <w:rPr>
      <w:rFonts w:eastAsia="Times New Roman"/>
      <w:b/>
      <w:sz w:val="34"/>
      <w:szCs w:val="24"/>
    </w:rPr>
  </w:style>
  <w:style w:type="character" w:customStyle="1" w:styleId="TitreCar">
    <w:name w:val="Titre Car"/>
    <w:basedOn w:val="Policepardfaut"/>
    <w:link w:val="Titre"/>
    <w:uiPriority w:val="99"/>
    <w:rsid w:val="007F2D5C"/>
    <w:rPr>
      <w:rFonts w:ascii="Times New Roman" w:eastAsia="Times New Roman" w:hAnsi="Times New Roman" w:cs="Times New Roman"/>
      <w:b/>
      <w:sz w:val="34"/>
      <w:szCs w:val="24"/>
      <w:lang w:eastAsia="fr-FR"/>
    </w:rPr>
  </w:style>
  <w:style w:type="paragraph" w:styleId="Retraitcorpsdetexte2">
    <w:name w:val="Body Text Indent 2"/>
    <w:basedOn w:val="Normal"/>
    <w:link w:val="Retraitcorpsdetexte2Car"/>
    <w:uiPriority w:val="99"/>
    <w:semiHidden/>
    <w:unhideWhenUsed/>
    <w:rsid w:val="007F2D5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firstLine="1134"/>
      <w:jc w:val="both"/>
    </w:pPr>
    <w:rPr>
      <w:rFonts w:eastAsia="Times New Roman"/>
      <w:sz w:val="24"/>
      <w:szCs w:val="24"/>
    </w:rPr>
  </w:style>
  <w:style w:type="character" w:customStyle="1" w:styleId="Retraitcorpsdetexte2Car">
    <w:name w:val="Retrait corps de texte 2 Car"/>
    <w:basedOn w:val="Policepardfaut"/>
    <w:link w:val="Retraitcorpsdetexte2"/>
    <w:uiPriority w:val="99"/>
    <w:semiHidden/>
    <w:rsid w:val="007F2D5C"/>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F2D5C"/>
    <w:rPr>
      <w:rFonts w:ascii="Tahoma" w:eastAsia="Times New Roman" w:hAnsi="Tahoma" w:cs="Tahoma"/>
      <w:sz w:val="16"/>
      <w:szCs w:val="16"/>
    </w:rPr>
  </w:style>
  <w:style w:type="character" w:customStyle="1" w:styleId="TextedebullesCar">
    <w:name w:val="Texte de bulles Car"/>
    <w:basedOn w:val="Policepardfaut"/>
    <w:link w:val="Textedebulles"/>
    <w:uiPriority w:val="99"/>
    <w:semiHidden/>
    <w:rsid w:val="007F2D5C"/>
    <w:rPr>
      <w:rFonts w:ascii="Tahoma" w:eastAsia="Times New Roman" w:hAnsi="Tahoma" w:cs="Tahoma"/>
      <w:sz w:val="16"/>
      <w:szCs w:val="16"/>
      <w:lang w:eastAsia="fr-FR"/>
    </w:rPr>
  </w:style>
  <w:style w:type="paragraph" w:styleId="En-ttedetabledesmatires">
    <w:name w:val="TOC Heading"/>
    <w:basedOn w:val="Titre1"/>
    <w:next w:val="Normal"/>
    <w:uiPriority w:val="39"/>
    <w:semiHidden/>
    <w:unhideWhenUsed/>
    <w:qFormat/>
    <w:rsid w:val="007F2D5C"/>
    <w:pPr>
      <w:spacing w:before="480" w:line="276" w:lineRule="auto"/>
      <w:outlineLvl w:val="9"/>
    </w:pPr>
    <w:rPr>
      <w:b/>
      <w:bCs/>
      <w:sz w:val="28"/>
      <w:szCs w:val="28"/>
      <w:lang w:eastAsia="en-US"/>
    </w:rPr>
  </w:style>
  <w:style w:type="paragraph" w:customStyle="1" w:styleId="p1">
    <w:name w:val="p1"/>
    <w:basedOn w:val="Normal"/>
    <w:uiPriority w:val="99"/>
    <w:rsid w:val="007F2D5C"/>
    <w:pPr>
      <w:jc w:val="both"/>
    </w:pPr>
    <w:rPr>
      <w:rFonts w:ascii="Helvetica" w:eastAsia="Times New Roman" w:hAnsi="Helvetica"/>
      <w:sz w:val="17"/>
      <w:szCs w:val="17"/>
    </w:rPr>
  </w:style>
  <w:style w:type="paragraph" w:customStyle="1" w:styleId="Default">
    <w:name w:val="Default"/>
    <w:uiPriority w:val="99"/>
    <w:rsid w:val="007F2D5C"/>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RedPara">
    <w:name w:val="RedPara"/>
    <w:basedOn w:val="Normal"/>
    <w:uiPriority w:val="99"/>
    <w:rsid w:val="007F2D5C"/>
    <w:pPr>
      <w:keepNext/>
      <w:widowControl w:val="0"/>
      <w:suppressAutoHyphens/>
      <w:autoSpaceDE w:val="0"/>
      <w:spacing w:before="120" w:after="60"/>
    </w:pPr>
    <w:rPr>
      <w:rFonts w:ascii="Arial" w:eastAsia="Times New Roman" w:hAnsi="Arial" w:cs="Arial"/>
      <w:b/>
      <w:bCs/>
      <w:lang w:eastAsia="ar-SA"/>
    </w:rPr>
  </w:style>
  <w:style w:type="paragraph" w:customStyle="1" w:styleId="RedTxt">
    <w:name w:val="RedTxt"/>
    <w:basedOn w:val="Normal"/>
    <w:uiPriority w:val="99"/>
    <w:rsid w:val="007F2D5C"/>
    <w:pPr>
      <w:keepLines/>
      <w:widowControl w:val="0"/>
      <w:suppressAutoHyphens/>
      <w:autoSpaceDE w:val="0"/>
    </w:pPr>
    <w:rPr>
      <w:rFonts w:ascii="Arial" w:eastAsia="Times New Roman" w:hAnsi="Arial" w:cs="Arial"/>
      <w:sz w:val="18"/>
      <w:szCs w:val="18"/>
      <w:lang w:eastAsia="ar-SA"/>
    </w:rPr>
  </w:style>
  <w:style w:type="paragraph" w:customStyle="1" w:styleId="RedRub">
    <w:name w:val="RedRub"/>
    <w:basedOn w:val="Normal"/>
    <w:uiPriority w:val="99"/>
    <w:rsid w:val="007F2D5C"/>
    <w:pPr>
      <w:keepNext/>
      <w:widowControl w:val="0"/>
      <w:suppressAutoHyphens/>
      <w:autoSpaceDE w:val="0"/>
      <w:spacing w:before="60" w:after="60"/>
    </w:pPr>
    <w:rPr>
      <w:rFonts w:ascii="Arial" w:eastAsia="Times New Roman" w:hAnsi="Arial" w:cs="Arial"/>
      <w:b/>
      <w:bCs/>
      <w:lang w:eastAsia="ar-SA"/>
    </w:rPr>
  </w:style>
  <w:style w:type="character" w:customStyle="1" w:styleId="apple-converted-space">
    <w:name w:val="apple-converted-space"/>
    <w:basedOn w:val="Policepardfaut"/>
    <w:rsid w:val="007F2D5C"/>
  </w:style>
  <w:style w:type="character" w:customStyle="1" w:styleId="Mentionnonrsolue1">
    <w:name w:val="Mention non résolue1"/>
    <w:basedOn w:val="Policepardfaut"/>
    <w:uiPriority w:val="99"/>
    <w:semiHidden/>
    <w:rsid w:val="007F2D5C"/>
    <w:rPr>
      <w:color w:val="808080"/>
      <w:shd w:val="clear" w:color="auto" w:fill="E6E6E6"/>
    </w:rPr>
  </w:style>
  <w:style w:type="paragraph" w:customStyle="1" w:styleId="-EnteteLogoGEDA">
    <w:name w:val="- Entete:Logo                GEDA"/>
    <w:basedOn w:val="Normal"/>
    <w:rsid w:val="00F7028B"/>
    <w:pPr>
      <w:overflowPunct w:val="0"/>
      <w:autoSpaceDE w:val="0"/>
      <w:autoSpaceDN w:val="0"/>
      <w:adjustRightInd w:val="0"/>
      <w:ind w:right="57"/>
      <w:jc w:val="center"/>
      <w:textAlignment w:val="baseline"/>
    </w:pPr>
    <w:rPr>
      <w:rFonts w:eastAsia="Times New Roman"/>
      <w:sz w:val="24"/>
      <w:szCs w:val="20"/>
    </w:rPr>
  </w:style>
  <w:style w:type="paragraph" w:customStyle="1" w:styleId="-EnteteRapporteurGEDA">
    <w:name w:val="- Entete:Rapporteur                GEDA"/>
    <w:rsid w:val="00F7028B"/>
    <w:pPr>
      <w:overflowPunct w:val="0"/>
      <w:autoSpaceDE w:val="0"/>
      <w:autoSpaceDN w:val="0"/>
      <w:adjustRightInd w:val="0"/>
      <w:spacing w:before="60" w:after="240" w:line="240" w:lineRule="auto"/>
      <w:jc w:val="center"/>
      <w:textAlignment w:val="baseline"/>
    </w:pPr>
    <w:rPr>
      <w:rFonts w:ascii="Times New Roman" w:eastAsia="Times New Roman" w:hAnsi="Times New Roman" w:cs="Times New Roman"/>
      <w:b/>
      <w:caps/>
      <w:sz w:val="18"/>
      <w:szCs w:val="20"/>
      <w:lang w:eastAsia="fr-FR"/>
    </w:rPr>
  </w:style>
  <w:style w:type="paragraph" w:customStyle="1" w:styleId="-EnteteInstructeurGEDA">
    <w:name w:val="- Entete:Instructeur                  GEDA"/>
    <w:basedOn w:val="Normal"/>
    <w:rsid w:val="00F7028B"/>
    <w:pPr>
      <w:suppressAutoHyphens/>
      <w:overflowPunct w:val="0"/>
      <w:autoSpaceDE w:val="0"/>
      <w:spacing w:before="80" w:after="80"/>
      <w:jc w:val="center"/>
    </w:pPr>
    <w:rPr>
      <w:rFonts w:eastAsia="Times New Roman"/>
      <w:caps/>
      <w:sz w:val="18"/>
      <w:szCs w:val="20"/>
      <w:lang w:eastAsia="ar-SA"/>
    </w:rPr>
  </w:style>
  <w:style w:type="character" w:customStyle="1" w:styleId="ParagraphedelisteCar">
    <w:name w:val="Paragraphe de liste Car"/>
    <w:basedOn w:val="Policepardfaut"/>
    <w:link w:val="Paragraphedeliste"/>
    <w:uiPriority w:val="72"/>
    <w:rsid w:val="005B2554"/>
    <w:rPr>
      <w:rFonts w:ascii="Times New Roman" w:eastAsiaTheme="minorEastAsia"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796756">
      <w:bodyDiv w:val="1"/>
      <w:marLeft w:val="0"/>
      <w:marRight w:val="0"/>
      <w:marTop w:val="0"/>
      <w:marBottom w:val="0"/>
      <w:divBdr>
        <w:top w:val="none" w:sz="0" w:space="0" w:color="auto"/>
        <w:left w:val="none" w:sz="0" w:space="0" w:color="auto"/>
        <w:bottom w:val="none" w:sz="0" w:space="0" w:color="auto"/>
        <w:right w:val="none" w:sz="0" w:space="0" w:color="auto"/>
      </w:divBdr>
    </w:div>
    <w:div w:id="430315896">
      <w:bodyDiv w:val="1"/>
      <w:marLeft w:val="0"/>
      <w:marRight w:val="0"/>
      <w:marTop w:val="0"/>
      <w:marBottom w:val="0"/>
      <w:divBdr>
        <w:top w:val="none" w:sz="0" w:space="0" w:color="auto"/>
        <w:left w:val="none" w:sz="0" w:space="0" w:color="auto"/>
        <w:bottom w:val="none" w:sz="0" w:space="0" w:color="auto"/>
        <w:right w:val="none" w:sz="0" w:space="0" w:color="auto"/>
      </w:divBdr>
    </w:div>
    <w:div w:id="100574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0F1ED-985C-494B-BCB0-9D0297D34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2034</TotalTime>
  <Pages>3</Pages>
  <Words>1017</Words>
  <Characters>5800</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Nicky MAIRE</dc:creator>
  <cp:lastModifiedBy>jean-francois.varlet@dgee.education.pf</cp:lastModifiedBy>
  <cp:revision>52</cp:revision>
  <cp:lastPrinted>2019-09-23T20:46:00Z</cp:lastPrinted>
  <dcterms:created xsi:type="dcterms:W3CDTF">2019-08-27T17:58:00Z</dcterms:created>
  <dcterms:modified xsi:type="dcterms:W3CDTF">2024-02-07T00:41:00Z</dcterms:modified>
</cp:coreProperties>
</file>