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7BB5E" w14:textId="7353622F" w:rsidR="00B76C19" w:rsidRDefault="00F74662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Éléments de programme pouvant servir d’ancrage à l’enseignement du fait nucléaire </w:t>
      </w:r>
    </w:p>
    <w:p w14:paraId="05CBF1B9" w14:textId="3DC58989" w:rsidR="00B76C19" w:rsidRDefault="00F74662">
      <w:pPr>
        <w:spacing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Enseignement de PSE en BAC PR</w:t>
      </w:r>
      <w:r w:rsidR="00617FB7">
        <w:rPr>
          <w:rFonts w:ascii="Calibri" w:eastAsia="Calibri" w:hAnsi="Calibri" w:cs="Calibri"/>
          <w:b/>
          <w:sz w:val="28"/>
          <w:szCs w:val="28"/>
        </w:rPr>
        <w:t>O</w:t>
      </w:r>
    </w:p>
    <w:p w14:paraId="186B9150" w14:textId="3798EF69" w:rsidR="00B76C19" w:rsidRPr="00F74662" w:rsidRDefault="00000000" w:rsidP="00F74662">
      <w:pPr>
        <w:spacing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Niveau Terminale</w:t>
      </w:r>
    </w:p>
    <w:tbl>
      <w:tblPr>
        <w:tblStyle w:val="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8"/>
        <w:gridCol w:w="2551"/>
        <w:gridCol w:w="4962"/>
        <w:gridCol w:w="2234"/>
      </w:tblGrid>
      <w:tr w:rsidR="00B76C19" w14:paraId="61F4F1BA" w14:textId="77777777">
        <w:trPr>
          <w:trHeight w:val="423"/>
        </w:trPr>
        <w:tc>
          <w:tcPr>
            <w:tcW w:w="13995" w:type="dxa"/>
            <w:gridSpan w:val="4"/>
            <w:shd w:val="clear" w:color="auto" w:fill="D0CECE"/>
            <w:vAlign w:val="center"/>
          </w:tcPr>
          <w:p w14:paraId="755FF673" w14:textId="77777777" w:rsidR="00B76C19" w:rsidRDefault="00000000" w:rsidP="00F74662">
            <w:pPr>
              <w:spacing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Thématique A : L’individu responsable de son capital santé </w:t>
            </w:r>
          </w:p>
          <w:p w14:paraId="71B2585E" w14:textId="7AF90A12" w:rsidR="00F74662" w:rsidRDefault="00F74662" w:rsidP="00F74662">
            <w:pPr>
              <w:spacing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Module A9 : La sécurité alimentaire</w:t>
            </w:r>
          </w:p>
        </w:tc>
      </w:tr>
      <w:tr w:rsidR="00F74662" w14:paraId="277297E2" w14:textId="77777777" w:rsidTr="00F74662">
        <w:trPr>
          <w:trHeight w:val="20"/>
        </w:trPr>
        <w:tc>
          <w:tcPr>
            <w:tcW w:w="4248" w:type="dxa"/>
            <w:shd w:val="clear" w:color="auto" w:fill="auto"/>
            <w:vAlign w:val="center"/>
          </w:tcPr>
          <w:p w14:paraId="4431A05A" w14:textId="77777777" w:rsidR="00F74662" w:rsidRDefault="00F74662" w:rsidP="00D94262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Présenter</w:t>
            </w:r>
            <w:r>
              <w:rPr>
                <w:rFonts w:ascii="Calibri" w:eastAsia="Calibri" w:hAnsi="Calibri" w:cs="Calibri"/>
              </w:rPr>
              <w:t xml:space="preserve"> le dispositif garantissant la sécurité alimentaire du consommateur en France.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015BE5" w14:textId="392397CC" w:rsidR="00F74662" w:rsidRDefault="00F74662" w:rsidP="00D94262">
            <w:pPr>
              <w:spacing w:before="60" w:after="60" w:line="240" w:lineRule="auto"/>
              <w:rPr>
                <w:rFonts w:ascii="Calibri" w:eastAsia="Calibri" w:hAnsi="Calibri" w:cs="Calibri"/>
                <w:color w:val="FF00FF"/>
              </w:rPr>
            </w:pPr>
            <w:r w:rsidRPr="00F74662">
              <w:rPr>
                <w:rFonts w:ascii="Calibri" w:eastAsia="Calibri" w:hAnsi="Calibri" w:cs="Calibri"/>
                <w:color w:val="000000" w:themeColor="text1"/>
              </w:rPr>
              <w:t>Réglementation, principe de précaution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C339FC5" w14:textId="66A12ADC" w:rsidR="00F74662" w:rsidRDefault="00F74662" w:rsidP="00D94262">
            <w:pPr>
              <w:spacing w:before="60" w:after="60" w:line="240" w:lineRule="auto"/>
              <w:rPr>
                <w:rFonts w:ascii="Calibri" w:eastAsia="Calibri" w:hAnsi="Calibri" w:cs="Calibri"/>
                <w:color w:val="FF00FF"/>
              </w:rPr>
            </w:pPr>
            <w:r w:rsidRPr="00F74662">
              <w:rPr>
                <w:rFonts w:ascii="Segoe UI Symbol" w:eastAsia="Calibri" w:hAnsi="Segoe UI Symbol" w:cs="Segoe UI Symbol"/>
                <w:color w:val="000000" w:themeColor="text1"/>
              </w:rPr>
              <w:t>🖙</w:t>
            </w:r>
            <w:r w:rsidRPr="00F74662">
              <w:rPr>
                <w:rFonts w:ascii="Calibri" w:eastAsia="Calibri" w:hAnsi="Calibri" w:cs="Calibri"/>
                <w:color w:val="000000" w:themeColor="text1"/>
              </w:rPr>
              <w:t xml:space="preserve"> Exploitation de faits d’actualité où le principe de précaution est utilisé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050B8ED1" w14:textId="2D8CB57F" w:rsidR="00F74662" w:rsidRDefault="00F74662" w:rsidP="00D94262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FF00FF"/>
              </w:rPr>
            </w:pPr>
            <w:r>
              <w:rPr>
                <w:rFonts w:ascii="Calibri" w:eastAsia="Calibri" w:hAnsi="Calibri" w:cs="Calibri"/>
                <w:color w:val="000000" w:themeColor="text1"/>
              </w:rPr>
              <w:t>Surveillance radiologique (</w:t>
            </w:r>
            <w:r w:rsidRPr="00F74662">
              <w:rPr>
                <w:rFonts w:ascii="Calibri" w:eastAsia="Calibri" w:hAnsi="Calibri" w:cs="Calibri"/>
                <w:color w:val="000000" w:themeColor="text1"/>
              </w:rPr>
              <w:t>IRSN</w:t>
            </w:r>
            <w:r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</w:tr>
    </w:tbl>
    <w:p w14:paraId="46D60819" w14:textId="77777777" w:rsidR="00B76C19" w:rsidRDefault="00B76C19">
      <w:pPr>
        <w:spacing w:line="240" w:lineRule="auto"/>
        <w:jc w:val="both"/>
        <w:rPr>
          <w:rFonts w:ascii="Calibri" w:eastAsia="Calibri" w:hAnsi="Calibri" w:cs="Calibri"/>
          <w:b/>
        </w:rPr>
      </w:pPr>
    </w:p>
    <w:tbl>
      <w:tblPr>
        <w:tblStyle w:val="a1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06"/>
        <w:gridCol w:w="2835"/>
        <w:gridCol w:w="4820"/>
        <w:gridCol w:w="2234"/>
      </w:tblGrid>
      <w:tr w:rsidR="00B76C19" w14:paraId="0184E65C" w14:textId="77777777">
        <w:trPr>
          <w:trHeight w:val="423"/>
        </w:trPr>
        <w:tc>
          <w:tcPr>
            <w:tcW w:w="13995" w:type="dxa"/>
            <w:gridSpan w:val="4"/>
            <w:shd w:val="clear" w:color="auto" w:fill="D0CECE"/>
            <w:vAlign w:val="center"/>
          </w:tcPr>
          <w:p w14:paraId="29F8F0AE" w14:textId="77777777" w:rsidR="00B76C19" w:rsidRDefault="00000000" w:rsidP="00F74662">
            <w:pPr>
              <w:spacing w:after="60"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Thématique C : L’individu acteur de prévention dans son milieu professionnel</w:t>
            </w:r>
          </w:p>
          <w:p w14:paraId="1C01862B" w14:textId="0A816A5E" w:rsidR="00F74662" w:rsidRPr="00F74662" w:rsidRDefault="00F74662" w:rsidP="00F74662">
            <w:pPr>
              <w:spacing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Module C8 : Déclaration et réparation des accidents du travail et des maladies professionnelles</w:t>
            </w:r>
          </w:p>
        </w:tc>
      </w:tr>
      <w:tr w:rsidR="008E2A4C" w14:paraId="69A3A06A" w14:textId="77777777" w:rsidTr="00F74662">
        <w:trPr>
          <w:trHeight w:val="915"/>
        </w:trPr>
        <w:tc>
          <w:tcPr>
            <w:tcW w:w="4106" w:type="dxa"/>
            <w:shd w:val="clear" w:color="auto" w:fill="auto"/>
            <w:vAlign w:val="center"/>
          </w:tcPr>
          <w:p w14:paraId="475B1570" w14:textId="77777777" w:rsid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  <w:p w14:paraId="668EABDD" w14:textId="62B52EAD" w:rsid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Identifier </w:t>
            </w:r>
            <w:r>
              <w:rPr>
                <w:rFonts w:ascii="Calibri" w:eastAsia="Calibri" w:hAnsi="Calibri" w:cs="Calibri"/>
              </w:rPr>
              <w:t>les différents acteurs impliqués, les étapes, les délais et les documents nécessaires dans une procédure de déclaration.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3D094" w14:textId="2446359F" w:rsidR="008E2A4C" w:rsidRDefault="008E2A4C" w:rsidP="008E2A4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Déclaration, délai, reconnaissance, procédure</w:t>
            </w:r>
          </w:p>
          <w:p w14:paraId="589D74A4" w14:textId="10118111" w:rsid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  <w:color w:val="9900FF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143BBD52" w14:textId="77777777" w:rsidR="008E2A4C" w:rsidRP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8E2A4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8E2A4C">
              <w:rPr>
                <w:rFonts w:ascii="Calibri" w:eastAsia="Calibri" w:hAnsi="Calibri" w:cs="Calibri"/>
                <w:color w:val="000000" w:themeColor="text1"/>
              </w:rPr>
              <w:t>Exploitation des ressources des sites officiels (</w:t>
            </w:r>
            <w:hyperlink r:id="rId4">
              <w:r w:rsidRPr="008E2A4C">
                <w:rPr>
                  <w:rFonts w:ascii="Calibri" w:eastAsia="Calibri" w:hAnsi="Calibri" w:cs="Calibri"/>
                  <w:color w:val="000000" w:themeColor="text1"/>
                  <w:u w:val="single"/>
                </w:rPr>
                <w:t>www.service-public.fr</w:t>
              </w:r>
            </w:hyperlink>
            <w:r w:rsidRPr="008E2A4C">
              <w:rPr>
                <w:rFonts w:ascii="Calibri" w:eastAsia="Calibri" w:hAnsi="Calibri" w:cs="Calibri"/>
                <w:color w:val="000000" w:themeColor="text1"/>
              </w:rPr>
              <w:t xml:space="preserve"> et </w:t>
            </w:r>
            <w:hyperlink r:id="rId5">
              <w:r w:rsidRPr="008E2A4C">
                <w:rPr>
                  <w:rFonts w:ascii="Calibri" w:eastAsia="Calibri" w:hAnsi="Calibri" w:cs="Calibri"/>
                  <w:color w:val="000000" w:themeColor="text1"/>
                  <w:u w:val="single"/>
                </w:rPr>
                <w:t>www.ameli.fr</w:t>
              </w:r>
            </w:hyperlink>
            <w:r w:rsidRPr="008E2A4C">
              <w:rPr>
                <w:rFonts w:ascii="Calibri" w:eastAsia="Calibri" w:hAnsi="Calibri" w:cs="Calibri"/>
                <w:color w:val="000000" w:themeColor="text1"/>
              </w:rPr>
              <w:t xml:space="preserve">) permettant de différencier les procédures de déclaration. </w:t>
            </w:r>
          </w:p>
          <w:p w14:paraId="14052312" w14:textId="49595326" w:rsidR="008E2A4C" w:rsidRPr="008E2A4C" w:rsidRDefault="008E2A4C" w:rsidP="00D94262">
            <w:pPr>
              <w:spacing w:after="6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8E2A4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8E2A4C">
              <w:rPr>
                <w:rFonts w:ascii="Calibri" w:eastAsia="Calibri" w:hAnsi="Calibri" w:cs="Calibri"/>
                <w:color w:val="000000" w:themeColor="text1"/>
              </w:rPr>
              <w:t xml:space="preserve">Comparaison de différentes situations pour justifier d’une reconnaissance de maladie professionnelle (tableaux des maladies professionnelles). </w:t>
            </w:r>
          </w:p>
        </w:tc>
        <w:tc>
          <w:tcPr>
            <w:tcW w:w="2234" w:type="dxa"/>
            <w:vMerge w:val="restart"/>
            <w:shd w:val="clear" w:color="auto" w:fill="auto"/>
            <w:vAlign w:val="center"/>
          </w:tcPr>
          <w:p w14:paraId="466D4958" w14:textId="4EB381B5" w:rsidR="008E2A4C" w:rsidRDefault="008E2A4C">
            <w:pPr>
              <w:spacing w:line="240" w:lineRule="auto"/>
              <w:jc w:val="center"/>
              <w:rPr>
                <w:rFonts w:ascii="Calibri" w:eastAsia="Calibri" w:hAnsi="Calibri" w:cs="Calibri"/>
                <w:color w:val="FF00FF"/>
              </w:rPr>
            </w:pPr>
            <w:r w:rsidRPr="008E2A4C">
              <w:rPr>
                <w:rFonts w:ascii="Calibri" w:eastAsia="Calibri" w:hAnsi="Calibri" w:cs="Calibri"/>
                <w:color w:val="000000" w:themeColor="text1"/>
              </w:rPr>
              <w:t>Maladies radio-induites, indemnisation</w:t>
            </w:r>
          </w:p>
        </w:tc>
      </w:tr>
      <w:tr w:rsidR="008E2A4C" w14:paraId="740C2BDE" w14:textId="77777777" w:rsidTr="00F74662">
        <w:trPr>
          <w:trHeight w:val="915"/>
        </w:trPr>
        <w:tc>
          <w:tcPr>
            <w:tcW w:w="4106" w:type="dxa"/>
            <w:shd w:val="clear" w:color="auto" w:fill="auto"/>
            <w:vAlign w:val="center"/>
          </w:tcPr>
          <w:p w14:paraId="456368F0" w14:textId="2A50395B" w:rsid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Différencier </w:t>
            </w:r>
            <w:r>
              <w:rPr>
                <w:rFonts w:ascii="Calibri" w:eastAsia="Calibri" w:hAnsi="Calibri" w:cs="Calibri"/>
              </w:rPr>
              <w:t>responsabilité civile et responsabilité pénale de l’employeur.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1BD973B" w14:textId="71025F30" w:rsid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Conséquence juridique, faute inexcusable, responsabilité civile, responsabilité pénale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A88C4E" w14:textId="77777777" w:rsidR="008E2A4C" w:rsidRPr="008E2A4C" w:rsidRDefault="008E2A4C">
            <w:pPr>
              <w:spacing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8E2A4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8E2A4C">
              <w:rPr>
                <w:rFonts w:ascii="Calibri" w:eastAsia="Calibri" w:hAnsi="Calibri" w:cs="Calibri"/>
                <w:color w:val="000000" w:themeColor="text1"/>
              </w:rPr>
              <w:t>Exploitation de l’article du Code pénal (mise en danger d’autrui) et mise en relation avec des situations d’accidents du travail et de maladies professionnelles.</w:t>
            </w:r>
          </w:p>
          <w:p w14:paraId="315F7652" w14:textId="2EC422AD" w:rsidR="008E2A4C" w:rsidRPr="008E2A4C" w:rsidRDefault="008E2A4C" w:rsidP="00D94262">
            <w:pPr>
              <w:spacing w:after="6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8E2A4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8E2A4C">
              <w:rPr>
                <w:rFonts w:ascii="Calibri" w:eastAsia="Calibri" w:hAnsi="Calibri" w:cs="Calibri"/>
                <w:color w:val="000000" w:themeColor="text1"/>
              </w:rPr>
              <w:t>Exploitation de vidéo de l’INRS (exemple : « l’affaire Berthier »).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364AF0FF" w14:textId="77777777" w:rsidR="008E2A4C" w:rsidRDefault="008E2A4C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  <w:tr w:rsidR="008E2A4C" w14:paraId="35B6FDAD" w14:textId="77777777" w:rsidTr="00F74662">
        <w:trPr>
          <w:trHeight w:val="915"/>
        </w:trPr>
        <w:tc>
          <w:tcPr>
            <w:tcW w:w="4106" w:type="dxa"/>
            <w:shd w:val="clear" w:color="auto" w:fill="auto"/>
            <w:vAlign w:val="center"/>
          </w:tcPr>
          <w:p w14:paraId="566BAEF5" w14:textId="4011689B" w:rsidR="008E2A4C" w:rsidRPr="00F74662" w:rsidRDefault="008E2A4C">
            <w:pPr>
              <w:spacing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Repérer</w:t>
            </w:r>
            <w:r>
              <w:rPr>
                <w:rFonts w:ascii="Calibri" w:eastAsia="Calibri" w:hAnsi="Calibri" w:cs="Calibri"/>
              </w:rPr>
              <w:t xml:space="preserve"> les modalités d’indemnisation des victimes.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C23C0EC" w14:textId="320AD04F" w:rsidR="008E2A4C" w:rsidRDefault="008E2A4C" w:rsidP="008E2A4C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Prestation en nature, prestation en espèces, rente d’incapacité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AD085D" w14:textId="3F508B27" w:rsidR="008E2A4C" w:rsidRPr="008E2A4C" w:rsidRDefault="008E2A4C" w:rsidP="00D94262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  <w:color w:val="000000" w:themeColor="text1"/>
              </w:rPr>
            </w:pPr>
            <w:r w:rsidRPr="008E2A4C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8E2A4C">
              <w:rPr>
                <w:rFonts w:ascii="Calibri" w:eastAsia="Calibri" w:hAnsi="Calibri" w:cs="Calibri"/>
                <w:color w:val="000000" w:themeColor="text1"/>
              </w:rPr>
              <w:t>Étude de plusieurs cas de victimes d’accident du travail ou de maladie professionnelle (articles de journaux, témoignage…) afin d’identifier les types de prestations versées.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326772E" w14:textId="77777777" w:rsidR="008E2A4C" w:rsidRDefault="008E2A4C">
            <w:pPr>
              <w:spacing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</w:tbl>
    <w:p w14:paraId="454DEE7B" w14:textId="77777777" w:rsidR="00B76C19" w:rsidRDefault="00B76C19">
      <w:pPr>
        <w:spacing w:line="240" w:lineRule="auto"/>
      </w:pPr>
    </w:p>
    <w:sectPr w:rsidR="00B76C19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C19"/>
    <w:rsid w:val="00213B47"/>
    <w:rsid w:val="00617FB7"/>
    <w:rsid w:val="008E2A4C"/>
    <w:rsid w:val="00B76C19"/>
    <w:rsid w:val="00D94262"/>
    <w:rsid w:val="00F7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D9B5D4C"/>
  <w15:docId w15:val="{6813ADA4-332B-0040-8932-0A8DCBBD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li.fr" TargetMode="External"/><Relationship Id="rId4" Type="http://schemas.openxmlformats.org/officeDocument/2006/relationships/hyperlink" Target="http://www.service-public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Rafiq Sossey</cp:lastModifiedBy>
  <cp:revision>3</cp:revision>
  <dcterms:created xsi:type="dcterms:W3CDTF">2023-01-16T21:13:00Z</dcterms:created>
  <dcterms:modified xsi:type="dcterms:W3CDTF">2023-01-16T21:13:00Z</dcterms:modified>
</cp:coreProperties>
</file>