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6A3D" w14:textId="77777777" w:rsidR="00AA5DC7" w:rsidRDefault="0000000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Eléments de programme pouvant servir d’ancrage à l’enseignement du fait nucléaire </w:t>
      </w:r>
    </w:p>
    <w:p w14:paraId="431C7B6E" w14:textId="3AA19463" w:rsidR="00AA5DC7" w:rsidRDefault="0000000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Enseignement scientifique </w:t>
      </w:r>
      <w:r w:rsidR="0054113C">
        <w:rPr>
          <w:b/>
          <w:sz w:val="34"/>
          <w:szCs w:val="34"/>
          <w:lang w:val="fr-FR"/>
        </w:rPr>
        <w:t>-</w:t>
      </w:r>
      <w:r>
        <w:rPr>
          <w:b/>
          <w:sz w:val="34"/>
          <w:szCs w:val="34"/>
        </w:rPr>
        <w:t xml:space="preserve"> Première générale</w:t>
      </w:r>
    </w:p>
    <w:p w14:paraId="36B7F990" w14:textId="77777777" w:rsidR="00AA5DC7" w:rsidRDefault="00AA5DC7">
      <w:pPr>
        <w:rPr>
          <w:sz w:val="28"/>
          <w:szCs w:val="28"/>
        </w:rPr>
      </w:pPr>
    </w:p>
    <w:tbl>
      <w:tblPr>
        <w:tblStyle w:val="a"/>
        <w:tblW w:w="15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3"/>
        <w:gridCol w:w="9250"/>
        <w:gridCol w:w="2313"/>
      </w:tblGrid>
      <w:tr w:rsidR="00AA5DC7" w14:paraId="4DC57D30" w14:textId="77777777">
        <w:trPr>
          <w:trHeight w:val="423"/>
        </w:trPr>
        <w:tc>
          <w:tcPr>
            <w:tcW w:w="12713" w:type="dxa"/>
            <w:gridSpan w:val="2"/>
            <w:shd w:val="clear" w:color="auto" w:fill="D0CECE"/>
            <w:vAlign w:val="center"/>
          </w:tcPr>
          <w:p w14:paraId="4AEDD18B" w14:textId="77777777" w:rsidR="00AA5DC7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Thème 1 : Une longue histoire de la matière</w:t>
            </w:r>
          </w:p>
        </w:tc>
        <w:tc>
          <w:tcPr>
            <w:tcW w:w="2313" w:type="dxa"/>
            <w:shd w:val="clear" w:color="auto" w:fill="D0CECE"/>
            <w:vAlign w:val="center"/>
          </w:tcPr>
          <w:p w14:paraId="208C9F3C" w14:textId="77777777" w:rsidR="00AA5DC7" w:rsidRDefault="00AA5D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A5DC7" w14:paraId="7C6CCD46" w14:textId="77777777">
        <w:trPr>
          <w:trHeight w:val="397"/>
        </w:trPr>
        <w:tc>
          <w:tcPr>
            <w:tcW w:w="3463" w:type="dxa"/>
            <w:shd w:val="clear" w:color="auto" w:fill="CFE2F3"/>
            <w:vAlign w:val="center"/>
          </w:tcPr>
          <w:p w14:paraId="2C6083B7" w14:textId="77777777" w:rsidR="00AA5DC7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 niveau d’organisation : les éléments chimiques</w:t>
            </w:r>
          </w:p>
        </w:tc>
        <w:tc>
          <w:tcPr>
            <w:tcW w:w="9250" w:type="dxa"/>
            <w:shd w:val="clear" w:color="auto" w:fill="CFE2F3"/>
            <w:vAlign w:val="center"/>
          </w:tcPr>
          <w:p w14:paraId="0DA9BED4" w14:textId="77777777" w:rsidR="00AA5DC7" w:rsidRDefault="00AA5DC7">
            <w:pPr>
              <w:rPr>
                <w:i/>
                <w:sz w:val="22"/>
                <w:szCs w:val="22"/>
              </w:rPr>
            </w:pPr>
          </w:p>
          <w:p w14:paraId="440A7919" w14:textId="77777777" w:rsidR="00AA5D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Certains noyaux sont instables et se désintègrent (radioactivité).</w:t>
            </w:r>
          </w:p>
          <w:p w14:paraId="60D482C1" w14:textId="77777777" w:rsidR="00AA5D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L’instant de désintégration d’un noyau radioactif individuel est aléatoire. </w:t>
            </w:r>
          </w:p>
          <w:p w14:paraId="53A91BAD" w14:textId="77777777" w:rsidR="00AA5D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demi-vie d’un noyau radioactif est la durée nécessaire pour que la moitié des noyaux initialement présents dans un échantillon macroscopique se soit désintégrée. </w:t>
            </w:r>
          </w:p>
          <w:p w14:paraId="19979577" w14:textId="77777777" w:rsidR="00AA5D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Cette demi-vie est caractéristique du noyau radioactif. </w:t>
            </w:r>
          </w:p>
          <w:p w14:paraId="674DB2FF" w14:textId="77777777" w:rsidR="00AA5DC7" w:rsidRDefault="00AA5DC7">
            <w:pPr>
              <w:rPr>
                <w:i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CFE2F3"/>
            <w:vAlign w:val="center"/>
          </w:tcPr>
          <w:p w14:paraId="2AD8C664" w14:textId="77777777" w:rsidR="00AA5DC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Radioactivité </w:t>
            </w:r>
          </w:p>
          <w:p w14:paraId="593FB76E" w14:textId="77777777" w:rsidR="00AA5DC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Datation</w:t>
            </w:r>
          </w:p>
        </w:tc>
      </w:tr>
    </w:tbl>
    <w:p w14:paraId="750C0038" w14:textId="77777777" w:rsidR="00AA5DC7" w:rsidRDefault="00AA5DC7">
      <w:pPr>
        <w:rPr>
          <w:sz w:val="28"/>
          <w:szCs w:val="28"/>
        </w:rPr>
      </w:pPr>
    </w:p>
    <w:p w14:paraId="6871660B" w14:textId="77777777" w:rsidR="00AA5DC7" w:rsidRDefault="00AA5DC7">
      <w:pPr>
        <w:rPr>
          <w:sz w:val="28"/>
          <w:szCs w:val="28"/>
        </w:rPr>
      </w:pPr>
    </w:p>
    <w:tbl>
      <w:tblPr>
        <w:tblStyle w:val="a0"/>
        <w:tblW w:w="15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3"/>
        <w:gridCol w:w="9250"/>
        <w:gridCol w:w="2313"/>
      </w:tblGrid>
      <w:tr w:rsidR="00AA5DC7" w14:paraId="16924049" w14:textId="77777777">
        <w:trPr>
          <w:trHeight w:val="423"/>
        </w:trPr>
        <w:tc>
          <w:tcPr>
            <w:tcW w:w="12713" w:type="dxa"/>
            <w:gridSpan w:val="2"/>
            <w:shd w:val="clear" w:color="auto" w:fill="D0CECE"/>
            <w:vAlign w:val="center"/>
          </w:tcPr>
          <w:p w14:paraId="61649E05" w14:textId="77777777" w:rsidR="00AA5DC7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Thème 3 : La Terre, un astre singulier</w:t>
            </w:r>
          </w:p>
        </w:tc>
        <w:tc>
          <w:tcPr>
            <w:tcW w:w="2313" w:type="dxa"/>
            <w:shd w:val="clear" w:color="auto" w:fill="D0CECE"/>
            <w:vAlign w:val="center"/>
          </w:tcPr>
          <w:p w14:paraId="6C0F007A" w14:textId="77777777" w:rsidR="00AA5DC7" w:rsidRDefault="00AA5D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A5DC7" w14:paraId="085B11B5" w14:textId="77777777">
        <w:trPr>
          <w:trHeight w:val="397"/>
        </w:trPr>
        <w:tc>
          <w:tcPr>
            <w:tcW w:w="3463" w:type="dxa"/>
            <w:shd w:val="clear" w:color="auto" w:fill="CFE2F3"/>
            <w:vAlign w:val="center"/>
          </w:tcPr>
          <w:p w14:paraId="03B8DCA8" w14:textId="77777777" w:rsidR="00AA5DC7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L’histoire de l’âge de la Terre</w:t>
            </w:r>
          </w:p>
          <w:p w14:paraId="65F5CBFB" w14:textId="77777777" w:rsidR="00AA5DC7" w:rsidRDefault="00AA5D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0" w:type="dxa"/>
            <w:shd w:val="clear" w:color="auto" w:fill="CFE2F3"/>
            <w:vAlign w:val="center"/>
          </w:tcPr>
          <w:p w14:paraId="219F49CE" w14:textId="77777777" w:rsidR="00AA5DC7" w:rsidRDefault="00AA5DC7">
            <w:pPr>
              <w:rPr>
                <w:i/>
                <w:sz w:val="22"/>
                <w:szCs w:val="22"/>
              </w:rPr>
            </w:pPr>
          </w:p>
          <w:p w14:paraId="76DF33B5" w14:textId="77777777" w:rsidR="00AA5DC7" w:rsidRDefault="00000000" w:rsidP="00900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 cours de l’histoire des sciences, plusieurs arguments ont été utilisés pour aboutir à la connaissance actuelle de l’âge de la Terre: temps de refroidissement, empilements sédimentaires, évolution biologique, radioactivité. </w:t>
            </w:r>
          </w:p>
          <w:p w14:paraId="6BCF98B8" w14:textId="77777777" w:rsidR="00AA5D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L’âge de la Terre aujourd’hui précisément déterminé est de 4,57.10</w:t>
            </w:r>
            <w:r>
              <w:rPr>
                <w:sz w:val="22"/>
                <w:szCs w:val="22"/>
                <w:vertAlign w:val="superscript"/>
              </w:rPr>
              <w:t>9</w:t>
            </w:r>
            <w:r>
              <w:rPr>
                <w:sz w:val="22"/>
                <w:szCs w:val="22"/>
              </w:rPr>
              <w:t xml:space="preserve"> ans. </w:t>
            </w:r>
          </w:p>
          <w:p w14:paraId="1622AF53" w14:textId="77777777" w:rsidR="00AA5DC7" w:rsidRDefault="00AA5DC7">
            <w:pPr>
              <w:rPr>
                <w:i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CFE2F3"/>
            <w:vAlign w:val="center"/>
          </w:tcPr>
          <w:p w14:paraId="4BACCCF5" w14:textId="77777777" w:rsidR="00AA5DC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Radioactivité </w:t>
            </w:r>
          </w:p>
          <w:p w14:paraId="3F3FA99F" w14:textId="77777777" w:rsidR="00AA5DC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Datation</w:t>
            </w:r>
          </w:p>
        </w:tc>
      </w:tr>
    </w:tbl>
    <w:p w14:paraId="28C2F12C" w14:textId="77777777" w:rsidR="00AA5DC7" w:rsidRDefault="00AA5DC7">
      <w:pPr>
        <w:rPr>
          <w:sz w:val="28"/>
          <w:szCs w:val="28"/>
        </w:rPr>
      </w:pPr>
    </w:p>
    <w:p w14:paraId="59AAE319" w14:textId="77777777" w:rsidR="00AA5DC7" w:rsidRDefault="00AA5DC7">
      <w:pPr>
        <w:rPr>
          <w:sz w:val="28"/>
          <w:szCs w:val="28"/>
        </w:rPr>
      </w:pPr>
    </w:p>
    <w:tbl>
      <w:tblPr>
        <w:tblStyle w:val="a1"/>
        <w:tblW w:w="15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3"/>
        <w:gridCol w:w="9250"/>
        <w:gridCol w:w="2313"/>
      </w:tblGrid>
      <w:tr w:rsidR="00AA5DC7" w14:paraId="553622B2" w14:textId="77777777">
        <w:trPr>
          <w:trHeight w:val="423"/>
        </w:trPr>
        <w:tc>
          <w:tcPr>
            <w:tcW w:w="12713" w:type="dxa"/>
            <w:gridSpan w:val="2"/>
            <w:shd w:val="clear" w:color="auto" w:fill="D0CECE"/>
            <w:vAlign w:val="center"/>
          </w:tcPr>
          <w:p w14:paraId="0BD7262E" w14:textId="77777777" w:rsidR="00AA5DC7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Thème 4 : Son et musique, porteurs d’information</w:t>
            </w:r>
          </w:p>
        </w:tc>
        <w:tc>
          <w:tcPr>
            <w:tcW w:w="2313" w:type="dxa"/>
            <w:shd w:val="clear" w:color="auto" w:fill="D0CECE"/>
            <w:vAlign w:val="center"/>
          </w:tcPr>
          <w:p w14:paraId="57E05BFF" w14:textId="77777777" w:rsidR="00AA5DC7" w:rsidRDefault="00AA5D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A5DC7" w14:paraId="33778477" w14:textId="77777777">
        <w:trPr>
          <w:trHeight w:val="397"/>
        </w:trPr>
        <w:tc>
          <w:tcPr>
            <w:tcW w:w="3463" w:type="dxa"/>
            <w:shd w:val="clear" w:color="auto" w:fill="FFF2CC"/>
            <w:vAlign w:val="center"/>
          </w:tcPr>
          <w:p w14:paraId="18DDF76F" w14:textId="77777777" w:rsidR="00AA5DC7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Entendre la musique </w:t>
            </w:r>
          </w:p>
        </w:tc>
        <w:tc>
          <w:tcPr>
            <w:tcW w:w="9250" w:type="dxa"/>
            <w:shd w:val="clear" w:color="auto" w:fill="FFF2CC"/>
            <w:vAlign w:val="center"/>
          </w:tcPr>
          <w:p w14:paraId="166A1EF7" w14:textId="77777777" w:rsidR="00AA5DC7" w:rsidRDefault="00AA5DC7">
            <w:pPr>
              <w:rPr>
                <w:i/>
                <w:sz w:val="22"/>
                <w:szCs w:val="22"/>
              </w:rPr>
            </w:pPr>
          </w:p>
          <w:p w14:paraId="3990EA6A" w14:textId="77777777" w:rsidR="00900098" w:rsidRDefault="00000000" w:rsidP="00900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L’être humain peut percevoir des sons de niveaux d’intensité approximativement compris entre 0 et 120 dB.</w:t>
            </w:r>
          </w:p>
          <w:p w14:paraId="0032A1B5" w14:textId="077DAEB1" w:rsidR="00AA5DC7" w:rsidRDefault="00000000" w:rsidP="00900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sons audibles par les humains ont des fréquences comprises entre 20 et 20 000 Hz.  </w:t>
            </w:r>
          </w:p>
          <w:p w14:paraId="3172442B" w14:textId="77777777" w:rsidR="00AA5DC7" w:rsidRDefault="00000000" w:rsidP="00900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Dans l’oreille interne, des structures cellulaires (cils vibratiles) entrent en résonance avec les vibrations reçues et les traduisent en un message nerveux qui se dirige vers le cerveau. </w:t>
            </w:r>
          </w:p>
          <w:p w14:paraId="07ADEDEF" w14:textId="77777777" w:rsidR="00AA5DC7" w:rsidRDefault="00000000" w:rsidP="00900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cils vibratiles sont fragiles et facilement endommagés par des sons trop intenses. Les dégâts sont alors irréversibles et peuvent causer une surdité.   </w:t>
            </w:r>
          </w:p>
          <w:p w14:paraId="368D9030" w14:textId="77777777" w:rsidR="00AA5DC7" w:rsidRDefault="00AA5DC7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FFF2CC"/>
            <w:vAlign w:val="center"/>
          </w:tcPr>
          <w:p w14:paraId="6FE15B46" w14:textId="77777777" w:rsidR="00AA5DC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Essais nucléaires aériens et intensité sonore</w:t>
            </w:r>
          </w:p>
        </w:tc>
      </w:tr>
    </w:tbl>
    <w:p w14:paraId="0B21A2C6" w14:textId="77777777" w:rsidR="00AA5DC7" w:rsidRDefault="00AA5DC7">
      <w:pPr>
        <w:rPr>
          <w:b/>
          <w:sz w:val="28"/>
          <w:szCs w:val="28"/>
        </w:rPr>
      </w:pPr>
    </w:p>
    <w:sectPr w:rsidR="00AA5DC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C7"/>
    <w:rsid w:val="0054113C"/>
    <w:rsid w:val="00900098"/>
    <w:rsid w:val="00AA5DC7"/>
    <w:rsid w:val="00C8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63872"/>
  <w15:docId w15:val="{DECECC9E-E78B-0043-B4EA-B16606B3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PF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24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21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3A0977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A0977"/>
  </w:style>
  <w:style w:type="paragraph" w:styleId="Pieddepage">
    <w:name w:val="footer"/>
    <w:basedOn w:val="Normal"/>
    <w:link w:val="PieddepageCar"/>
    <w:uiPriority w:val="99"/>
    <w:unhideWhenUsed/>
    <w:rsid w:val="003A097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097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yH6+XME67R+tR1SJ4Om/eCXlCA==">AMUW2mUDkwcHwLiNLwrxfGw0DpYzn4QwHybMNmAJHu3O+eP9x9ZTdkNvloyWRQLGpBdHb2R/gILXN3cfUwEXbBsgChKb0f8yMOyxgvkLAPKmuIuZ0d0kduQ=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GARBUTT</dc:creator>
  <cp:lastModifiedBy>Rafiq Sossey</cp:lastModifiedBy>
  <cp:revision>2</cp:revision>
  <dcterms:created xsi:type="dcterms:W3CDTF">2023-01-16T20:08:00Z</dcterms:created>
  <dcterms:modified xsi:type="dcterms:W3CDTF">2023-01-16T20:08:00Z</dcterms:modified>
</cp:coreProperties>
</file>