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00F7" w14:textId="0F8D0C6A" w:rsidR="00C03C48" w:rsidRDefault="00526ADA">
      <w:pPr>
        <w:jc w:val="center"/>
        <w:rPr>
          <w:b/>
          <w:sz w:val="34"/>
          <w:szCs w:val="34"/>
        </w:rPr>
      </w:pPr>
      <w:r>
        <w:rPr>
          <w:b/>
          <w:sz w:val="34"/>
          <w:szCs w:val="34"/>
        </w:rPr>
        <w:t xml:space="preserve">Éléments de programme pouvant servir d’ancrage à l’enseignement du fait nucléaire </w:t>
      </w:r>
    </w:p>
    <w:p w14:paraId="3BE2B03D" w14:textId="7FA8F291" w:rsidR="00C03C48" w:rsidRDefault="00000000">
      <w:pPr>
        <w:jc w:val="center"/>
        <w:rPr>
          <w:b/>
          <w:sz w:val="34"/>
          <w:szCs w:val="34"/>
        </w:rPr>
      </w:pPr>
      <w:r>
        <w:rPr>
          <w:b/>
          <w:sz w:val="34"/>
          <w:szCs w:val="34"/>
        </w:rPr>
        <w:t xml:space="preserve">Enseignement de spécialité SVT </w:t>
      </w:r>
      <w:r w:rsidR="00526ADA">
        <w:rPr>
          <w:b/>
          <w:sz w:val="34"/>
          <w:szCs w:val="34"/>
        </w:rPr>
        <w:t>-</w:t>
      </w:r>
      <w:r>
        <w:rPr>
          <w:b/>
          <w:sz w:val="34"/>
          <w:szCs w:val="34"/>
        </w:rPr>
        <w:t xml:space="preserve"> Première générale</w:t>
      </w:r>
    </w:p>
    <w:p w14:paraId="028FE9F5" w14:textId="77777777" w:rsidR="00C03C48" w:rsidRDefault="00C03C48">
      <w:pPr>
        <w:rPr>
          <w:rFonts w:ascii="Arial" w:eastAsia="Arial" w:hAnsi="Arial" w:cs="Arial"/>
          <w:sz w:val="28"/>
          <w:szCs w:val="28"/>
        </w:rPr>
      </w:pPr>
    </w:p>
    <w:tbl>
      <w:tblPr>
        <w:tblStyle w:val="a"/>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9250"/>
        <w:gridCol w:w="2313"/>
      </w:tblGrid>
      <w:tr w:rsidR="00C03C48" w14:paraId="6AB214C7" w14:textId="77777777">
        <w:trPr>
          <w:trHeight w:val="390"/>
        </w:trPr>
        <w:tc>
          <w:tcPr>
            <w:tcW w:w="15026" w:type="dxa"/>
            <w:gridSpan w:val="3"/>
            <w:shd w:val="clear" w:color="auto" w:fill="EFEFEF"/>
            <w:vAlign w:val="center"/>
          </w:tcPr>
          <w:p w14:paraId="660F0EA7" w14:textId="77777777" w:rsidR="00C03C48" w:rsidRDefault="00000000">
            <w:pPr>
              <w:jc w:val="center"/>
              <w:rPr>
                <w:b/>
                <w:sz w:val="28"/>
                <w:szCs w:val="28"/>
              </w:rPr>
            </w:pPr>
            <w:r>
              <w:rPr>
                <w:b/>
                <w:sz w:val="28"/>
                <w:szCs w:val="28"/>
              </w:rPr>
              <w:t>Thème 1 : La Terre, la vie et l’organisation du vivant</w:t>
            </w:r>
          </w:p>
        </w:tc>
      </w:tr>
      <w:tr w:rsidR="00C03C48" w14:paraId="56AF9F82" w14:textId="77777777">
        <w:trPr>
          <w:trHeight w:val="2820"/>
        </w:trPr>
        <w:tc>
          <w:tcPr>
            <w:tcW w:w="3463" w:type="dxa"/>
            <w:shd w:val="clear" w:color="auto" w:fill="FFF2CC"/>
            <w:vAlign w:val="center"/>
          </w:tcPr>
          <w:p w14:paraId="4CD40DA7" w14:textId="77777777" w:rsidR="00C03C48" w:rsidRDefault="00000000" w:rsidP="00526ADA">
            <w:pPr>
              <w:jc w:val="center"/>
              <w:rPr>
                <w:b/>
                <w:sz w:val="22"/>
                <w:szCs w:val="22"/>
              </w:rPr>
            </w:pPr>
            <w:r>
              <w:rPr>
                <w:b/>
                <w:sz w:val="22"/>
                <w:szCs w:val="22"/>
              </w:rPr>
              <w:t>Transmission, variation et expression du patrimoine génétique</w:t>
            </w:r>
          </w:p>
        </w:tc>
        <w:tc>
          <w:tcPr>
            <w:tcW w:w="9250" w:type="dxa"/>
            <w:shd w:val="clear" w:color="auto" w:fill="FFF2CC"/>
            <w:vAlign w:val="center"/>
          </w:tcPr>
          <w:p w14:paraId="7E1CA711" w14:textId="77777777" w:rsidR="00C03C48" w:rsidRDefault="00000000">
            <w:pPr>
              <w:jc w:val="center"/>
              <w:rPr>
                <w:b/>
                <w:sz w:val="22"/>
                <w:szCs w:val="22"/>
              </w:rPr>
            </w:pPr>
            <w:r>
              <w:rPr>
                <w:b/>
                <w:sz w:val="22"/>
                <w:szCs w:val="22"/>
              </w:rPr>
              <w:t>Mutations de l’ADN et variabilité génétique</w:t>
            </w:r>
          </w:p>
          <w:p w14:paraId="2C422A7E" w14:textId="77777777" w:rsidR="00C03C48" w:rsidRDefault="00C03C48">
            <w:pPr>
              <w:rPr>
                <w:b/>
                <w:sz w:val="22"/>
                <w:szCs w:val="22"/>
              </w:rPr>
            </w:pPr>
          </w:p>
          <w:p w14:paraId="0164EC3C" w14:textId="77777777" w:rsidR="00C03C48" w:rsidRDefault="00000000">
            <w:pPr>
              <w:jc w:val="both"/>
              <w:rPr>
                <w:sz w:val="22"/>
                <w:szCs w:val="22"/>
              </w:rPr>
            </w:pPr>
            <w:r>
              <w:rPr>
                <w:sz w:val="22"/>
                <w:szCs w:val="22"/>
              </w:rPr>
              <w:t xml:space="preserve">Des erreurs peuvent se produire aléatoirement lors de la réplication de l'ADN. </w:t>
            </w:r>
            <w:r>
              <w:rPr>
                <w:b/>
                <w:sz w:val="22"/>
                <w:szCs w:val="22"/>
              </w:rPr>
              <w:t>Leur fréquence est augmentée par l’action d’agents mutagènes. L’ADN peut également être endommagé en dehors de sa réplication.</w:t>
            </w:r>
            <w:r>
              <w:rPr>
                <w:sz w:val="22"/>
                <w:szCs w:val="22"/>
              </w:rPr>
              <w:t xml:space="preserve"> Les mutations sont à l’origine de la diversité des allèles au cours du temps. Selon leur nature, elles ont des effets variés sur le phénotype. Les erreurs réplicatives et les altérations de l’ADN peuvent être réparées par des mécanismes spécialisés impliquant des enzymes. Si les réparations ne sont pas conformes, la mutation persiste à l’issue de la réplication et est transmise au moment de la division cellulaire. Chez les animaux dont l’être humain, une mutation survient soit dans une cellule somatique (elle sera présente dans le clone issu de cette cellule) soit dans une cellule germinale (elle devient potentiellement héréditaire).</w:t>
            </w:r>
          </w:p>
        </w:tc>
        <w:tc>
          <w:tcPr>
            <w:tcW w:w="2313" w:type="dxa"/>
            <w:shd w:val="clear" w:color="auto" w:fill="FFF2CC"/>
            <w:vAlign w:val="center"/>
          </w:tcPr>
          <w:p w14:paraId="17C75FB7" w14:textId="77777777" w:rsidR="00C03C48" w:rsidRDefault="00000000">
            <w:pPr>
              <w:jc w:val="center"/>
              <w:rPr>
                <w:sz w:val="22"/>
                <w:szCs w:val="22"/>
              </w:rPr>
            </w:pPr>
            <w:r>
              <w:rPr>
                <w:sz w:val="22"/>
                <w:szCs w:val="22"/>
              </w:rPr>
              <w:t>Effets mutagènes des rayonnements</w:t>
            </w:r>
          </w:p>
        </w:tc>
      </w:tr>
    </w:tbl>
    <w:p w14:paraId="2A873421" w14:textId="77777777" w:rsidR="00C03C48" w:rsidRDefault="00C03C48">
      <w:pPr>
        <w:rPr>
          <w:sz w:val="28"/>
          <w:szCs w:val="28"/>
        </w:rPr>
      </w:pPr>
    </w:p>
    <w:tbl>
      <w:tblPr>
        <w:tblStyle w:val="a0"/>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9250"/>
        <w:gridCol w:w="2313"/>
      </w:tblGrid>
      <w:tr w:rsidR="00C03C48" w14:paraId="125A7758" w14:textId="77777777">
        <w:trPr>
          <w:trHeight w:val="390"/>
        </w:trPr>
        <w:tc>
          <w:tcPr>
            <w:tcW w:w="15026" w:type="dxa"/>
            <w:gridSpan w:val="3"/>
            <w:shd w:val="clear" w:color="auto" w:fill="E7E6E6"/>
            <w:vAlign w:val="center"/>
          </w:tcPr>
          <w:p w14:paraId="1FE79561" w14:textId="77777777" w:rsidR="00C03C48" w:rsidRDefault="00000000">
            <w:pPr>
              <w:jc w:val="center"/>
              <w:rPr>
                <w:b/>
                <w:sz w:val="28"/>
                <w:szCs w:val="28"/>
              </w:rPr>
            </w:pPr>
            <w:r>
              <w:rPr>
                <w:b/>
                <w:sz w:val="28"/>
                <w:szCs w:val="28"/>
              </w:rPr>
              <w:t>Thème 2 : Les enjeux contemporains de la planète</w:t>
            </w:r>
          </w:p>
        </w:tc>
      </w:tr>
      <w:tr w:rsidR="00C03C48" w14:paraId="01AC1B60" w14:textId="77777777">
        <w:trPr>
          <w:trHeight w:val="4995"/>
        </w:trPr>
        <w:tc>
          <w:tcPr>
            <w:tcW w:w="3463" w:type="dxa"/>
            <w:shd w:val="clear" w:color="auto" w:fill="D9EAD3"/>
            <w:vAlign w:val="center"/>
          </w:tcPr>
          <w:p w14:paraId="33A11AED" w14:textId="77777777" w:rsidR="00C03C48" w:rsidRDefault="00C03C48">
            <w:pPr>
              <w:jc w:val="center"/>
              <w:rPr>
                <w:b/>
                <w:sz w:val="22"/>
                <w:szCs w:val="22"/>
              </w:rPr>
            </w:pPr>
          </w:p>
          <w:p w14:paraId="4692B32A" w14:textId="77777777" w:rsidR="00C03C48" w:rsidRDefault="00000000">
            <w:pPr>
              <w:jc w:val="center"/>
              <w:rPr>
                <w:b/>
                <w:sz w:val="22"/>
                <w:szCs w:val="22"/>
              </w:rPr>
            </w:pPr>
            <w:r>
              <w:rPr>
                <w:b/>
                <w:sz w:val="22"/>
                <w:szCs w:val="22"/>
              </w:rPr>
              <w:t>Écosystèmes et services environnementaux</w:t>
            </w:r>
          </w:p>
        </w:tc>
        <w:tc>
          <w:tcPr>
            <w:tcW w:w="9250" w:type="dxa"/>
            <w:shd w:val="clear" w:color="auto" w:fill="D9EAD3"/>
            <w:vAlign w:val="center"/>
          </w:tcPr>
          <w:p w14:paraId="04F02D86" w14:textId="77777777" w:rsidR="00C03C48" w:rsidRDefault="00000000">
            <w:pPr>
              <w:jc w:val="center"/>
              <w:rPr>
                <w:b/>
                <w:sz w:val="22"/>
                <w:szCs w:val="22"/>
              </w:rPr>
            </w:pPr>
            <w:r>
              <w:rPr>
                <w:b/>
                <w:sz w:val="22"/>
                <w:szCs w:val="22"/>
              </w:rPr>
              <w:t xml:space="preserve">L’humanité et les écosystèmes : les services écosystémiques et leur gestion </w:t>
            </w:r>
          </w:p>
          <w:p w14:paraId="0D0F2A4D" w14:textId="77777777" w:rsidR="00C03C48" w:rsidRDefault="00C03C48">
            <w:pPr>
              <w:jc w:val="center"/>
              <w:rPr>
                <w:b/>
                <w:sz w:val="22"/>
                <w:szCs w:val="22"/>
              </w:rPr>
            </w:pPr>
          </w:p>
          <w:p w14:paraId="19D67D6E" w14:textId="77777777" w:rsidR="00C03C48" w:rsidRDefault="00000000">
            <w:pPr>
              <w:jc w:val="both"/>
              <w:rPr>
                <w:sz w:val="22"/>
                <w:szCs w:val="22"/>
              </w:rPr>
            </w:pPr>
            <w:r>
              <w:rPr>
                <w:sz w:val="22"/>
                <w:szCs w:val="22"/>
              </w:rPr>
              <w:t xml:space="preserve">L’espèce humaine est un élément parmi d’autres de tous les écosystèmes qu’elle a colonisés. Elle y vit en interaction avec d’autres espèces (parasites, commensales, domestiquées, exploitées). L’espèce humaine affecte le fonctionnement de la plupart des écosystèmes en exploitant des ressources (forestières par exemple), en modifiant le biotope local (sylviculture, érosion des sols) ou global (changement climatique, introduction d’espèces invasives). </w:t>
            </w:r>
            <w:r>
              <w:rPr>
                <w:b/>
                <w:sz w:val="22"/>
                <w:szCs w:val="22"/>
              </w:rPr>
              <w:t>Beaucoup d’écosystèmes mondiaux sont impactés, avec une perte mondiale de biodiversité et des conséquences néfastes pour les activités humaines (diminution de la production, pollution des eaux, développement de maladies, etc.).</w:t>
            </w:r>
            <w:r>
              <w:rPr>
                <w:sz w:val="22"/>
                <w:szCs w:val="22"/>
              </w:rPr>
              <w:t xml:space="preserve"> Pourtant, l’humanité tire un grand bénéfice de fonctions assurées gratuitement par les écosystèmes : ce sont les services écosystémiques d’approvisionnement (bois, champignons, pollinisation, fruits et graines, etc.), de régulation (dépollution de l’eau et de l’air, lutte contre l’érosion, les ravageurs et les maladies, recyclage de matière organique, fixation de carbone, etc.) et de culture (récréation, valeur patrimoniale, etc.). </w:t>
            </w:r>
            <w:r>
              <w:rPr>
                <w:b/>
                <w:sz w:val="22"/>
                <w:szCs w:val="22"/>
              </w:rPr>
              <w:t>Notre santé dépend en particulier de celle des écosystèmes qui nous entourent.</w:t>
            </w:r>
            <w:r>
              <w:rPr>
                <w:sz w:val="22"/>
                <w:szCs w:val="22"/>
              </w:rPr>
              <w:t xml:space="preserve"> La connaissance scientifique des écosystèmes (l’écologie) peut permettre une gestion rationnelle des ressources exploitables, assurant à la fois l’activité économique et un maintien des services écosystémiques. L’ingénierie écologique est l'ensemble des techniques qui visent à manipuler, modifier, exploiter ou réparer les écosystèmes afin d’en tirer durablement le maximum de bénéfices (conservation biologique, restauration ou compensation écologique, etc.).</w:t>
            </w:r>
          </w:p>
        </w:tc>
        <w:tc>
          <w:tcPr>
            <w:tcW w:w="2313" w:type="dxa"/>
            <w:shd w:val="clear" w:color="auto" w:fill="D9EAD3"/>
            <w:vAlign w:val="center"/>
          </w:tcPr>
          <w:p w14:paraId="549693F1" w14:textId="77777777" w:rsidR="00C03C48" w:rsidRDefault="00000000">
            <w:pPr>
              <w:jc w:val="center"/>
              <w:rPr>
                <w:sz w:val="22"/>
                <w:szCs w:val="22"/>
              </w:rPr>
            </w:pPr>
            <w:r>
              <w:rPr>
                <w:sz w:val="22"/>
                <w:szCs w:val="22"/>
              </w:rPr>
              <w:t xml:space="preserve">Conséquences environnementales et sanitaires </w:t>
            </w:r>
          </w:p>
          <w:p w14:paraId="2FB65A1F" w14:textId="77777777" w:rsidR="00C03C48" w:rsidRDefault="00C03C48">
            <w:pPr>
              <w:jc w:val="center"/>
              <w:rPr>
                <w:sz w:val="22"/>
                <w:szCs w:val="22"/>
              </w:rPr>
            </w:pPr>
          </w:p>
        </w:tc>
      </w:tr>
    </w:tbl>
    <w:p w14:paraId="42A2E99F" w14:textId="77777777" w:rsidR="00C03C48" w:rsidRDefault="00C03C48">
      <w:pPr>
        <w:rPr>
          <w:rFonts w:ascii="Arial" w:eastAsia="Arial" w:hAnsi="Arial" w:cs="Arial"/>
          <w:sz w:val="18"/>
          <w:szCs w:val="18"/>
        </w:rPr>
      </w:pPr>
    </w:p>
    <w:tbl>
      <w:tblPr>
        <w:tblStyle w:val="a1"/>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9250"/>
        <w:gridCol w:w="2313"/>
      </w:tblGrid>
      <w:tr w:rsidR="00C03C48" w14:paraId="58E1BD4F" w14:textId="77777777">
        <w:trPr>
          <w:trHeight w:val="525"/>
        </w:trPr>
        <w:tc>
          <w:tcPr>
            <w:tcW w:w="15026" w:type="dxa"/>
            <w:gridSpan w:val="3"/>
            <w:shd w:val="clear" w:color="auto" w:fill="E7E6E6"/>
            <w:vAlign w:val="center"/>
          </w:tcPr>
          <w:p w14:paraId="7EE957FF" w14:textId="77777777" w:rsidR="00C03C48" w:rsidRDefault="00000000">
            <w:pPr>
              <w:jc w:val="center"/>
              <w:rPr>
                <w:b/>
                <w:sz w:val="28"/>
                <w:szCs w:val="28"/>
              </w:rPr>
            </w:pPr>
            <w:r>
              <w:rPr>
                <w:b/>
                <w:sz w:val="28"/>
                <w:szCs w:val="28"/>
              </w:rPr>
              <w:t>Thème 3 : Corps humain et santé</w:t>
            </w:r>
          </w:p>
        </w:tc>
      </w:tr>
      <w:tr w:rsidR="00C03C48" w14:paraId="2F923C0D" w14:textId="77777777">
        <w:trPr>
          <w:trHeight w:val="3200"/>
        </w:trPr>
        <w:tc>
          <w:tcPr>
            <w:tcW w:w="3463" w:type="dxa"/>
            <w:vMerge w:val="restart"/>
            <w:shd w:val="clear" w:color="auto" w:fill="FFF2CC"/>
            <w:vAlign w:val="center"/>
          </w:tcPr>
          <w:p w14:paraId="67285A49" w14:textId="77777777" w:rsidR="00C03C48" w:rsidRDefault="00C03C48">
            <w:pPr>
              <w:jc w:val="center"/>
              <w:rPr>
                <w:b/>
                <w:sz w:val="22"/>
                <w:szCs w:val="22"/>
              </w:rPr>
            </w:pPr>
          </w:p>
          <w:p w14:paraId="121C9384" w14:textId="77777777" w:rsidR="00C03C48" w:rsidRDefault="00000000">
            <w:pPr>
              <w:jc w:val="center"/>
              <w:rPr>
                <w:b/>
                <w:sz w:val="22"/>
                <w:szCs w:val="22"/>
              </w:rPr>
            </w:pPr>
            <w:r>
              <w:rPr>
                <w:b/>
                <w:sz w:val="22"/>
                <w:szCs w:val="22"/>
              </w:rPr>
              <w:t xml:space="preserve"> Variation génétique et santé</w:t>
            </w:r>
          </w:p>
        </w:tc>
        <w:tc>
          <w:tcPr>
            <w:tcW w:w="9250" w:type="dxa"/>
            <w:shd w:val="clear" w:color="auto" w:fill="FFF2CC"/>
            <w:vAlign w:val="center"/>
          </w:tcPr>
          <w:p w14:paraId="6D53DF21" w14:textId="77777777" w:rsidR="00C03C48" w:rsidRDefault="00000000">
            <w:pPr>
              <w:jc w:val="center"/>
              <w:rPr>
                <w:b/>
                <w:sz w:val="22"/>
                <w:szCs w:val="22"/>
              </w:rPr>
            </w:pPr>
            <w:r>
              <w:rPr>
                <w:b/>
                <w:sz w:val="22"/>
                <w:szCs w:val="22"/>
              </w:rPr>
              <w:t xml:space="preserve">Mutations et santé </w:t>
            </w:r>
          </w:p>
          <w:p w14:paraId="45A3ED53" w14:textId="77777777" w:rsidR="00C03C48" w:rsidRDefault="00C03C48">
            <w:pPr>
              <w:jc w:val="center"/>
              <w:rPr>
                <w:b/>
                <w:sz w:val="22"/>
                <w:szCs w:val="22"/>
              </w:rPr>
            </w:pPr>
          </w:p>
          <w:p w14:paraId="3CD45834" w14:textId="77777777" w:rsidR="00C03C48" w:rsidRDefault="00000000">
            <w:pPr>
              <w:jc w:val="both"/>
              <w:rPr>
                <w:sz w:val="22"/>
                <w:szCs w:val="22"/>
              </w:rPr>
            </w:pPr>
            <w:r>
              <w:rPr>
                <w:b/>
                <w:sz w:val="22"/>
                <w:szCs w:val="22"/>
              </w:rPr>
              <w:t>Certaines mutations, héritées ou nouvellement produites, sont responsables de pathologies parce qu’elles affectent l’expression de certains gènes ou altèrent leurs produits.</w:t>
            </w:r>
            <w:r>
              <w:rPr>
                <w:sz w:val="22"/>
                <w:szCs w:val="22"/>
              </w:rPr>
              <w:t xml:space="preserve"> L’examen des arbres généalogiques familiaux permet de connaître les modes de transmission héréditaire des déterminants génétiques responsables. L’étude des génomes de grandes cohortes de patients est à la base de l’identification des gènes correspondants. Dans le cas d’une maladie monogénique à transmission autosomique récessive, seuls les homozygotes pour l’allèle muté sont atteints. Les hétérozygotes sont des porteurs sains. Selon les cas, les traitements apportés visent à compenser par des médicaments la fonction altérée ou à contrôler les conditions de milieu. Dans certains cas, on peut envisager une thérapie génique visant à remplacer l’allèle muté dans les cellules du tissu atteint.</w:t>
            </w:r>
          </w:p>
        </w:tc>
        <w:tc>
          <w:tcPr>
            <w:tcW w:w="2313" w:type="dxa"/>
            <w:shd w:val="clear" w:color="auto" w:fill="FFF2CC"/>
            <w:vAlign w:val="center"/>
          </w:tcPr>
          <w:p w14:paraId="39488E92" w14:textId="77777777" w:rsidR="00C03C48" w:rsidRDefault="00000000">
            <w:pPr>
              <w:jc w:val="center"/>
              <w:rPr>
                <w:sz w:val="22"/>
                <w:szCs w:val="22"/>
              </w:rPr>
            </w:pPr>
            <w:r>
              <w:rPr>
                <w:sz w:val="22"/>
                <w:szCs w:val="22"/>
              </w:rPr>
              <w:t>Maladies radio induites</w:t>
            </w:r>
          </w:p>
        </w:tc>
      </w:tr>
      <w:tr w:rsidR="00C03C48" w14:paraId="5B301347" w14:textId="77777777">
        <w:trPr>
          <w:trHeight w:val="2265"/>
        </w:trPr>
        <w:tc>
          <w:tcPr>
            <w:tcW w:w="3463" w:type="dxa"/>
            <w:vMerge/>
            <w:shd w:val="clear" w:color="auto" w:fill="FFF2CC"/>
            <w:vAlign w:val="center"/>
          </w:tcPr>
          <w:p w14:paraId="18167D5E" w14:textId="77777777" w:rsidR="00C03C48" w:rsidRDefault="00C03C48">
            <w:pPr>
              <w:widowControl w:val="0"/>
              <w:rPr>
                <w:rFonts w:ascii="Arial" w:eastAsia="Arial" w:hAnsi="Arial" w:cs="Arial"/>
                <w:sz w:val="18"/>
                <w:szCs w:val="18"/>
              </w:rPr>
            </w:pPr>
          </w:p>
        </w:tc>
        <w:tc>
          <w:tcPr>
            <w:tcW w:w="9250" w:type="dxa"/>
            <w:shd w:val="clear" w:color="auto" w:fill="FFF2CC"/>
            <w:vAlign w:val="center"/>
          </w:tcPr>
          <w:p w14:paraId="31D42CEE" w14:textId="77777777" w:rsidR="00C03C48" w:rsidRDefault="00000000">
            <w:pPr>
              <w:jc w:val="center"/>
              <w:rPr>
                <w:b/>
                <w:sz w:val="22"/>
                <w:szCs w:val="22"/>
              </w:rPr>
            </w:pPr>
            <w:r>
              <w:rPr>
                <w:b/>
                <w:sz w:val="22"/>
                <w:szCs w:val="22"/>
              </w:rPr>
              <w:t xml:space="preserve">Patrimoine génétique et santé </w:t>
            </w:r>
          </w:p>
          <w:p w14:paraId="33CC7FA0" w14:textId="77777777" w:rsidR="00C03C48" w:rsidRDefault="00C03C48">
            <w:pPr>
              <w:jc w:val="center"/>
              <w:rPr>
                <w:b/>
                <w:sz w:val="22"/>
                <w:szCs w:val="22"/>
              </w:rPr>
            </w:pPr>
          </w:p>
          <w:p w14:paraId="4748FCCF" w14:textId="77777777" w:rsidR="00C03C48" w:rsidRDefault="00000000">
            <w:pPr>
              <w:jc w:val="both"/>
              <w:rPr>
                <w:sz w:val="22"/>
                <w:szCs w:val="22"/>
              </w:rPr>
            </w:pPr>
            <w:r>
              <w:rPr>
                <w:sz w:val="22"/>
                <w:szCs w:val="22"/>
              </w:rPr>
              <w:t xml:space="preserve">La plupart des pathologies d’origine génétique sont dues à l’interaction de nombreux gènes qui ne sont pas tous connus. Certains allèles de certains gènes rendent plus probable l’apparition d’une pathologie. Le fond génétique individuel intervient dans la santé de l’individu. </w:t>
            </w:r>
            <w:r>
              <w:rPr>
                <w:b/>
                <w:sz w:val="22"/>
                <w:szCs w:val="22"/>
              </w:rPr>
              <w:t xml:space="preserve">De plus, mode de vie et conditions de milieu peuvent interagir dans la probabilité d’apparition d’une pathologie (on peut citer, par exemple, la sensibilité aux rayonnements solaires). </w:t>
            </w:r>
          </w:p>
        </w:tc>
        <w:tc>
          <w:tcPr>
            <w:tcW w:w="2313" w:type="dxa"/>
            <w:shd w:val="clear" w:color="auto" w:fill="FFF2CC"/>
            <w:vAlign w:val="center"/>
          </w:tcPr>
          <w:p w14:paraId="56176950" w14:textId="77777777" w:rsidR="00C03C48" w:rsidRDefault="00000000">
            <w:pPr>
              <w:jc w:val="center"/>
              <w:rPr>
                <w:sz w:val="22"/>
                <w:szCs w:val="22"/>
              </w:rPr>
            </w:pPr>
            <w:r>
              <w:rPr>
                <w:sz w:val="22"/>
                <w:szCs w:val="22"/>
              </w:rPr>
              <w:t>Conséquences sanitaires</w:t>
            </w:r>
          </w:p>
        </w:tc>
      </w:tr>
      <w:tr w:rsidR="00C03C48" w14:paraId="047B8200" w14:textId="77777777">
        <w:trPr>
          <w:trHeight w:val="2985"/>
        </w:trPr>
        <w:tc>
          <w:tcPr>
            <w:tcW w:w="3463" w:type="dxa"/>
            <w:vMerge/>
            <w:shd w:val="clear" w:color="auto" w:fill="FFF2CC"/>
            <w:vAlign w:val="center"/>
          </w:tcPr>
          <w:p w14:paraId="5E60763D" w14:textId="77777777" w:rsidR="00C03C48" w:rsidRDefault="00C03C48">
            <w:pPr>
              <w:widowControl w:val="0"/>
              <w:rPr>
                <w:rFonts w:ascii="Arial" w:eastAsia="Arial" w:hAnsi="Arial" w:cs="Arial"/>
                <w:sz w:val="18"/>
                <w:szCs w:val="18"/>
              </w:rPr>
            </w:pPr>
          </w:p>
        </w:tc>
        <w:tc>
          <w:tcPr>
            <w:tcW w:w="9250" w:type="dxa"/>
            <w:shd w:val="clear" w:color="auto" w:fill="FFF2CC"/>
            <w:vAlign w:val="center"/>
          </w:tcPr>
          <w:p w14:paraId="35A4EE22" w14:textId="77777777" w:rsidR="00C03C48" w:rsidRDefault="00000000">
            <w:pPr>
              <w:jc w:val="center"/>
              <w:rPr>
                <w:b/>
                <w:sz w:val="22"/>
                <w:szCs w:val="22"/>
              </w:rPr>
            </w:pPr>
            <w:r>
              <w:rPr>
                <w:b/>
                <w:sz w:val="22"/>
                <w:szCs w:val="22"/>
              </w:rPr>
              <w:t>Altérations du génome et cancérisation</w:t>
            </w:r>
          </w:p>
          <w:p w14:paraId="13505E61" w14:textId="77777777" w:rsidR="00C03C48" w:rsidRDefault="00C03C48">
            <w:pPr>
              <w:jc w:val="center"/>
              <w:rPr>
                <w:b/>
                <w:sz w:val="22"/>
                <w:szCs w:val="22"/>
              </w:rPr>
            </w:pPr>
          </w:p>
          <w:p w14:paraId="0D41626B" w14:textId="77777777" w:rsidR="00C03C48" w:rsidRDefault="00000000">
            <w:pPr>
              <w:jc w:val="both"/>
              <w:rPr>
                <w:sz w:val="22"/>
                <w:szCs w:val="22"/>
              </w:rPr>
            </w:pPr>
            <w:r>
              <w:rPr>
                <w:b/>
                <w:sz w:val="22"/>
                <w:szCs w:val="22"/>
              </w:rPr>
              <w:t xml:space="preserve"> Des modifications du génome des cellules somatiques surviennent au cours de la vie individuelle par mutations spontanées ou induites par un agent mutagène ou certaines infections virales. Elles peuvent donner naissance à une lignée cellulaire dont la prolifération incontrôlée est à l’origine de cancers. </w:t>
            </w:r>
            <w:r>
              <w:rPr>
                <w:sz w:val="22"/>
                <w:szCs w:val="22"/>
              </w:rPr>
              <w:t>On connaît, de plus, des facteurs génétiques hérités qui modifient la susceptibilité des individus à différents types de cancers.</w:t>
            </w:r>
            <w:r>
              <w:rPr>
                <w:b/>
                <w:sz w:val="22"/>
                <w:szCs w:val="22"/>
              </w:rPr>
              <w:t xml:space="preserve"> La connaissance des causes d’apparition d’un type de cancers permet d’envisager des mesures de protection (évitement des agents mutagènes, surveillance régulière en fonction de l’âge, vaccination), de traitements (médicaments, thérapie génique par exemple) et de guérison. </w:t>
            </w:r>
          </w:p>
        </w:tc>
        <w:tc>
          <w:tcPr>
            <w:tcW w:w="2313" w:type="dxa"/>
            <w:shd w:val="clear" w:color="auto" w:fill="FFF2CC"/>
            <w:vAlign w:val="center"/>
          </w:tcPr>
          <w:p w14:paraId="206958AC" w14:textId="77777777" w:rsidR="00C03C48" w:rsidRDefault="00000000">
            <w:pPr>
              <w:jc w:val="center"/>
              <w:rPr>
                <w:sz w:val="22"/>
                <w:szCs w:val="22"/>
              </w:rPr>
            </w:pPr>
            <w:r>
              <w:rPr>
                <w:sz w:val="22"/>
                <w:szCs w:val="22"/>
              </w:rPr>
              <w:t xml:space="preserve"> Surveillance radiologique                         </w:t>
            </w:r>
          </w:p>
        </w:tc>
      </w:tr>
    </w:tbl>
    <w:p w14:paraId="1136E05E" w14:textId="77777777" w:rsidR="00C03C48" w:rsidRDefault="00C03C48">
      <w:pPr>
        <w:rPr>
          <w:rFonts w:ascii="Arial" w:eastAsia="Arial" w:hAnsi="Arial" w:cs="Arial"/>
          <w:b/>
        </w:rPr>
      </w:pPr>
    </w:p>
    <w:sectPr w:rsidR="00C03C48">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C48"/>
    <w:rsid w:val="00526ADA"/>
    <w:rsid w:val="00C03C48"/>
    <w:rsid w:val="00F87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2BB0CD"/>
  <w15:docId w15:val="{DECECC9E-E78B-0043-B4EA-B16606B3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24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218F"/>
    <w:pPr>
      <w:spacing w:before="100" w:beforeAutospacing="1" w:after="100" w:afterAutospacing="1"/>
    </w:pPr>
    <w:rPr>
      <w:rFonts w:ascii="Times New Roman" w:eastAsia="Times New Roman" w:hAnsi="Times New Roman" w:cs="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AdFkkFj6friwoua6hwHxhDxIQ==">AMUW2mWiHzz+GKqEo66A8R8PrP0AQAoBkG+OaEVGa2+p+Sk6HENaLnwMaT0a/WVyga+Ate/FGF8BqiTbMtGrNS0F/UoY5k6S2AuAEJVx8+CG4lOwYn1J548=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4542</Characters>
  <Application>Microsoft Office Word</Application>
  <DocSecurity>0</DocSecurity>
  <Lines>37</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GARBUTT</dc:creator>
  <cp:lastModifiedBy>Rafiq Sossey</cp:lastModifiedBy>
  <cp:revision>2</cp:revision>
  <dcterms:created xsi:type="dcterms:W3CDTF">2023-01-16T20:08:00Z</dcterms:created>
  <dcterms:modified xsi:type="dcterms:W3CDTF">2023-01-16T20:08:00Z</dcterms:modified>
</cp:coreProperties>
</file>